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412F" w:rsidRDefault="00647458" w:rsidP="00647458">
      <w:pPr>
        <w:ind w:left="2098"/>
        <w:rPr>
          <w:b/>
          <w:snapToGrid w:val="0"/>
          <w:sz w:val="28"/>
          <w:lang w:eastAsia="en-US"/>
        </w:rPr>
      </w:pPr>
      <w:r>
        <w:rPr>
          <w:b/>
          <w:snapToGrid w:val="0"/>
          <w:sz w:val="28"/>
          <w:lang w:eastAsia="en-US"/>
        </w:rPr>
        <w:tab/>
      </w:r>
      <w:r>
        <w:rPr>
          <w:b/>
          <w:snapToGrid w:val="0"/>
          <w:sz w:val="28"/>
          <w:lang w:eastAsia="en-US"/>
        </w:rPr>
        <w:tab/>
      </w:r>
      <w:r>
        <w:rPr>
          <w:b/>
          <w:snapToGrid w:val="0"/>
          <w:sz w:val="28"/>
          <w:lang w:eastAsia="en-US"/>
        </w:rPr>
        <w:tab/>
      </w:r>
      <w:r>
        <w:rPr>
          <w:b/>
          <w:snapToGrid w:val="0"/>
          <w:sz w:val="28"/>
          <w:lang w:eastAsia="en-US"/>
        </w:rPr>
        <w:tab/>
        <w:t xml:space="preserve">           </w:t>
      </w:r>
      <w:r>
        <w:rPr>
          <w:b/>
          <w:snapToGrid w:val="0"/>
          <w:sz w:val="28"/>
          <w:lang w:eastAsia="en-US"/>
        </w:rPr>
        <w:tab/>
        <w:t xml:space="preserve">                APPENDIX A</w:t>
      </w:r>
    </w:p>
    <w:p w:rsidR="003B412F" w:rsidRDefault="003B412F" w:rsidP="007E348B">
      <w:pPr>
        <w:rPr>
          <w:b/>
          <w:snapToGrid w:val="0"/>
          <w:sz w:val="28"/>
          <w:lang w:eastAsia="en-US"/>
        </w:rPr>
      </w:pPr>
    </w:p>
    <w:p w:rsidR="003B412F" w:rsidRDefault="003B412F" w:rsidP="007E348B">
      <w:pPr>
        <w:rPr>
          <w:b/>
          <w:snapToGrid w:val="0"/>
          <w:sz w:val="28"/>
          <w:lang w:eastAsia="en-US"/>
        </w:rPr>
      </w:pPr>
    </w:p>
    <w:p w:rsidR="003B412F" w:rsidRDefault="003B412F" w:rsidP="007E348B">
      <w:pPr>
        <w:rPr>
          <w:b/>
          <w:snapToGrid w:val="0"/>
          <w:sz w:val="28"/>
          <w:lang w:eastAsia="en-US"/>
        </w:rPr>
      </w:pPr>
    </w:p>
    <w:p w:rsidR="003B412F" w:rsidRDefault="003B412F" w:rsidP="007E348B">
      <w:pPr>
        <w:rPr>
          <w:b/>
          <w:snapToGrid w:val="0"/>
          <w:sz w:val="28"/>
          <w:lang w:eastAsia="en-US"/>
        </w:rPr>
      </w:pPr>
    </w:p>
    <w:p w:rsidR="003B412F" w:rsidRDefault="003B412F" w:rsidP="007E348B">
      <w:pPr>
        <w:rPr>
          <w:b/>
          <w:snapToGrid w:val="0"/>
          <w:sz w:val="28"/>
          <w:lang w:eastAsia="en-US"/>
        </w:rPr>
      </w:pPr>
    </w:p>
    <w:p w:rsidR="000312BC" w:rsidRDefault="003B412F" w:rsidP="007E348B">
      <w:pPr>
        <w:rPr>
          <w:b/>
          <w:snapToGrid w:val="0"/>
          <w:sz w:val="28"/>
          <w:lang w:eastAsia="en-US"/>
        </w:rPr>
      </w:pPr>
      <w:r>
        <w:rPr>
          <w:b/>
          <w:snapToGrid w:val="0"/>
          <w:sz w:val="28"/>
          <w:lang w:eastAsia="en-US"/>
        </w:rPr>
        <w:t xml:space="preserve">Lancashire County Pension Fund </w:t>
      </w:r>
    </w:p>
    <w:p w:rsidR="000312BC" w:rsidRDefault="000312BC" w:rsidP="007E348B">
      <w:pPr>
        <w:rPr>
          <w:b/>
          <w:snapToGrid w:val="0"/>
          <w:sz w:val="28"/>
          <w:lang w:eastAsia="en-US"/>
        </w:rPr>
      </w:pPr>
    </w:p>
    <w:p w:rsidR="003B412F" w:rsidRDefault="003B412F" w:rsidP="007E348B">
      <w:pPr>
        <w:rPr>
          <w:b/>
          <w:snapToGrid w:val="0"/>
          <w:sz w:val="28"/>
          <w:lang w:eastAsia="en-US"/>
        </w:rPr>
      </w:pPr>
      <w:r>
        <w:rPr>
          <w:b/>
          <w:snapToGrid w:val="0"/>
          <w:sz w:val="28"/>
          <w:lang w:eastAsia="en-US"/>
        </w:rPr>
        <w:t>Annual Report</w:t>
      </w:r>
      <w:r w:rsidR="000312BC">
        <w:rPr>
          <w:b/>
          <w:snapToGrid w:val="0"/>
          <w:sz w:val="28"/>
          <w:lang w:eastAsia="en-US"/>
        </w:rPr>
        <w:t xml:space="preserve"> </w:t>
      </w:r>
      <w:r>
        <w:rPr>
          <w:b/>
          <w:snapToGrid w:val="0"/>
          <w:sz w:val="28"/>
          <w:lang w:eastAsia="en-US"/>
        </w:rPr>
        <w:t xml:space="preserve"> 20</w:t>
      </w:r>
      <w:r w:rsidR="000F1BBF">
        <w:rPr>
          <w:b/>
          <w:snapToGrid w:val="0"/>
          <w:sz w:val="28"/>
          <w:lang w:eastAsia="en-US"/>
        </w:rPr>
        <w:t>1</w:t>
      </w:r>
      <w:r w:rsidR="0083436C">
        <w:rPr>
          <w:b/>
          <w:snapToGrid w:val="0"/>
          <w:sz w:val="28"/>
          <w:lang w:eastAsia="en-US"/>
        </w:rPr>
        <w:t>1</w:t>
      </w:r>
      <w:r>
        <w:rPr>
          <w:b/>
          <w:snapToGrid w:val="0"/>
          <w:sz w:val="28"/>
          <w:lang w:eastAsia="en-US"/>
        </w:rPr>
        <w:t>/1</w:t>
      </w:r>
      <w:r w:rsidR="0083436C">
        <w:rPr>
          <w:b/>
          <w:snapToGrid w:val="0"/>
          <w:sz w:val="28"/>
          <w:lang w:eastAsia="en-US"/>
        </w:rPr>
        <w:t>2</w:t>
      </w:r>
    </w:p>
    <w:p w:rsidR="003B412F" w:rsidRDefault="003B412F" w:rsidP="007E348B">
      <w:pPr>
        <w:rPr>
          <w:b/>
          <w:snapToGrid w:val="0"/>
          <w:sz w:val="28"/>
          <w:lang w:eastAsia="en-US"/>
        </w:rPr>
      </w:pPr>
    </w:p>
    <w:p w:rsidR="00454CB3" w:rsidRDefault="00454CB3" w:rsidP="007E348B">
      <w:pPr>
        <w:rPr>
          <w:b/>
          <w:snapToGrid w:val="0"/>
          <w:sz w:val="28"/>
          <w:lang w:eastAsia="en-US"/>
        </w:rPr>
      </w:pPr>
      <w:r>
        <w:rPr>
          <w:b/>
          <w:snapToGrid w:val="0"/>
          <w:sz w:val="28"/>
          <w:lang w:eastAsia="en-US"/>
        </w:rPr>
        <w:t>Contents</w:t>
      </w:r>
    </w:p>
    <w:p w:rsidR="00454CB3" w:rsidRDefault="00454CB3" w:rsidP="007E348B">
      <w:pPr>
        <w:rPr>
          <w:b/>
          <w:snapToGrid w:val="0"/>
          <w:sz w:val="28"/>
          <w:lang w:eastAsia="en-US"/>
        </w:rPr>
      </w:pPr>
    </w:p>
    <w:p w:rsidR="00454CB3" w:rsidRDefault="00454CB3" w:rsidP="007E348B">
      <w:pPr>
        <w:rPr>
          <w:b/>
          <w:snapToGrid w:val="0"/>
          <w:sz w:val="28"/>
          <w:lang w:eastAsia="en-US"/>
        </w:rPr>
      </w:pPr>
    </w:p>
    <w:p w:rsidR="00454CB3" w:rsidRDefault="00454CB3" w:rsidP="007E348B">
      <w:pPr>
        <w:rPr>
          <w:b/>
          <w:snapToGrid w:val="0"/>
          <w:sz w:val="28"/>
          <w:lang w:eastAsia="en-US"/>
        </w:rPr>
      </w:pPr>
    </w:p>
    <w:tbl>
      <w:tblPr>
        <w:tblW w:w="0" w:type="auto"/>
        <w:tblLook w:val="04A0"/>
      </w:tblPr>
      <w:tblGrid>
        <w:gridCol w:w="1101"/>
        <w:gridCol w:w="6945"/>
        <w:gridCol w:w="1807"/>
      </w:tblGrid>
      <w:tr w:rsidR="00454CB3" w:rsidRPr="00EE6828" w:rsidTr="00B55CB6">
        <w:tc>
          <w:tcPr>
            <w:tcW w:w="1101" w:type="dxa"/>
          </w:tcPr>
          <w:p w:rsidR="00454CB3" w:rsidRPr="00EE6828" w:rsidRDefault="00454CB3" w:rsidP="007E348B">
            <w:pPr>
              <w:rPr>
                <w:b/>
                <w:snapToGrid w:val="0"/>
                <w:szCs w:val="24"/>
                <w:lang w:eastAsia="en-US"/>
              </w:rPr>
            </w:pPr>
            <w:r w:rsidRPr="00EE6828">
              <w:rPr>
                <w:b/>
                <w:snapToGrid w:val="0"/>
                <w:szCs w:val="24"/>
                <w:lang w:eastAsia="en-US"/>
              </w:rPr>
              <w:t>Section</w:t>
            </w:r>
          </w:p>
        </w:tc>
        <w:tc>
          <w:tcPr>
            <w:tcW w:w="6945" w:type="dxa"/>
          </w:tcPr>
          <w:p w:rsidR="00454CB3" w:rsidRPr="00EE6828" w:rsidRDefault="00454CB3" w:rsidP="00EE6828">
            <w:pPr>
              <w:jc w:val="center"/>
              <w:rPr>
                <w:b/>
                <w:snapToGrid w:val="0"/>
                <w:szCs w:val="24"/>
                <w:lang w:eastAsia="en-US"/>
              </w:rPr>
            </w:pPr>
            <w:r w:rsidRPr="00EE6828">
              <w:rPr>
                <w:b/>
                <w:snapToGrid w:val="0"/>
                <w:szCs w:val="24"/>
                <w:lang w:eastAsia="en-US"/>
              </w:rPr>
              <w:t>Description</w:t>
            </w:r>
          </w:p>
        </w:tc>
        <w:tc>
          <w:tcPr>
            <w:tcW w:w="1807" w:type="dxa"/>
          </w:tcPr>
          <w:p w:rsidR="00454CB3" w:rsidRPr="00EE6828" w:rsidRDefault="00454CB3" w:rsidP="00EE6828">
            <w:pPr>
              <w:jc w:val="center"/>
              <w:rPr>
                <w:b/>
                <w:snapToGrid w:val="0"/>
                <w:szCs w:val="24"/>
                <w:lang w:eastAsia="en-US"/>
              </w:rPr>
            </w:pPr>
            <w:r w:rsidRPr="00EE6828">
              <w:rPr>
                <w:b/>
                <w:snapToGrid w:val="0"/>
                <w:szCs w:val="24"/>
                <w:lang w:eastAsia="en-US"/>
              </w:rPr>
              <w:t>Page</w:t>
            </w:r>
          </w:p>
        </w:tc>
      </w:tr>
      <w:tr w:rsidR="00454CB3" w:rsidRPr="00EE6828" w:rsidTr="00B55CB6">
        <w:tc>
          <w:tcPr>
            <w:tcW w:w="1101" w:type="dxa"/>
          </w:tcPr>
          <w:p w:rsidR="00454CB3" w:rsidRPr="00EE6828" w:rsidRDefault="00454CB3" w:rsidP="007E348B">
            <w:pPr>
              <w:rPr>
                <w:b/>
                <w:snapToGrid w:val="0"/>
                <w:szCs w:val="24"/>
                <w:lang w:eastAsia="en-US"/>
              </w:rPr>
            </w:pPr>
          </w:p>
        </w:tc>
        <w:tc>
          <w:tcPr>
            <w:tcW w:w="6945" w:type="dxa"/>
          </w:tcPr>
          <w:p w:rsidR="00454CB3" w:rsidRPr="00EE6828" w:rsidRDefault="00454CB3" w:rsidP="007E348B">
            <w:pPr>
              <w:rPr>
                <w:b/>
                <w:snapToGrid w:val="0"/>
                <w:szCs w:val="24"/>
                <w:lang w:eastAsia="en-US"/>
              </w:rPr>
            </w:pPr>
          </w:p>
        </w:tc>
        <w:tc>
          <w:tcPr>
            <w:tcW w:w="1807" w:type="dxa"/>
          </w:tcPr>
          <w:p w:rsidR="00454CB3" w:rsidRPr="00EE6828" w:rsidRDefault="00454CB3" w:rsidP="00EE6828">
            <w:pPr>
              <w:jc w:val="center"/>
              <w:rPr>
                <w:b/>
                <w:snapToGrid w:val="0"/>
                <w:szCs w:val="24"/>
                <w:lang w:eastAsia="en-US"/>
              </w:rPr>
            </w:pPr>
          </w:p>
        </w:tc>
      </w:tr>
      <w:tr w:rsidR="00454CB3" w:rsidRPr="00A57A9C" w:rsidTr="00B55CB6">
        <w:tc>
          <w:tcPr>
            <w:tcW w:w="1101" w:type="dxa"/>
          </w:tcPr>
          <w:p w:rsidR="00454CB3" w:rsidRPr="00811FEA" w:rsidRDefault="00454CB3" w:rsidP="007E348B">
            <w:pPr>
              <w:rPr>
                <w:b/>
                <w:snapToGrid w:val="0"/>
                <w:szCs w:val="24"/>
                <w:lang w:eastAsia="en-US"/>
              </w:rPr>
            </w:pPr>
            <w:r w:rsidRPr="00811FEA">
              <w:rPr>
                <w:b/>
                <w:snapToGrid w:val="0"/>
                <w:szCs w:val="24"/>
                <w:lang w:eastAsia="en-US"/>
              </w:rPr>
              <w:t>A</w:t>
            </w:r>
          </w:p>
        </w:tc>
        <w:tc>
          <w:tcPr>
            <w:tcW w:w="6945" w:type="dxa"/>
          </w:tcPr>
          <w:p w:rsidR="00454CB3" w:rsidRPr="00811FEA" w:rsidRDefault="00454CB3" w:rsidP="007E348B">
            <w:pPr>
              <w:rPr>
                <w:b/>
                <w:snapToGrid w:val="0"/>
                <w:szCs w:val="24"/>
                <w:lang w:eastAsia="en-US"/>
              </w:rPr>
            </w:pPr>
            <w:r w:rsidRPr="00811FEA">
              <w:rPr>
                <w:b/>
                <w:snapToGrid w:val="0"/>
                <w:szCs w:val="24"/>
                <w:lang w:eastAsia="en-US"/>
              </w:rPr>
              <w:t>Management Structure</w:t>
            </w:r>
          </w:p>
        </w:tc>
        <w:tc>
          <w:tcPr>
            <w:tcW w:w="1807" w:type="dxa"/>
          </w:tcPr>
          <w:p w:rsidR="00454CB3" w:rsidRPr="0083436C" w:rsidRDefault="004D52E9" w:rsidP="00EE6828">
            <w:pPr>
              <w:jc w:val="center"/>
              <w:rPr>
                <w:b/>
                <w:snapToGrid w:val="0"/>
                <w:szCs w:val="24"/>
                <w:highlight w:val="yellow"/>
                <w:lang w:eastAsia="en-US"/>
              </w:rPr>
            </w:pPr>
            <w:r w:rsidRPr="009110E3">
              <w:rPr>
                <w:b/>
                <w:snapToGrid w:val="0"/>
                <w:szCs w:val="24"/>
                <w:lang w:eastAsia="en-US"/>
              </w:rPr>
              <w:t>1</w:t>
            </w:r>
          </w:p>
        </w:tc>
      </w:tr>
      <w:tr w:rsidR="00454CB3" w:rsidRPr="00A57A9C" w:rsidTr="00B55CB6">
        <w:tc>
          <w:tcPr>
            <w:tcW w:w="1101" w:type="dxa"/>
          </w:tcPr>
          <w:p w:rsidR="00454CB3" w:rsidRPr="00A57A9C" w:rsidRDefault="00454CB3" w:rsidP="007E348B">
            <w:pPr>
              <w:rPr>
                <w:b/>
                <w:snapToGrid w:val="0"/>
                <w:szCs w:val="24"/>
                <w:highlight w:val="yellow"/>
                <w:lang w:eastAsia="en-US"/>
              </w:rPr>
            </w:pPr>
          </w:p>
        </w:tc>
        <w:tc>
          <w:tcPr>
            <w:tcW w:w="6945" w:type="dxa"/>
          </w:tcPr>
          <w:p w:rsidR="00454CB3" w:rsidRPr="00A57A9C" w:rsidRDefault="00454CB3" w:rsidP="007E348B">
            <w:pPr>
              <w:rPr>
                <w:b/>
                <w:snapToGrid w:val="0"/>
                <w:szCs w:val="24"/>
                <w:highlight w:val="yellow"/>
                <w:lang w:eastAsia="en-US"/>
              </w:rPr>
            </w:pPr>
          </w:p>
        </w:tc>
        <w:tc>
          <w:tcPr>
            <w:tcW w:w="1807" w:type="dxa"/>
          </w:tcPr>
          <w:p w:rsidR="00454CB3" w:rsidRPr="0083436C" w:rsidRDefault="00454CB3" w:rsidP="00EE6828">
            <w:pPr>
              <w:jc w:val="center"/>
              <w:rPr>
                <w:b/>
                <w:snapToGrid w:val="0"/>
                <w:szCs w:val="24"/>
                <w:highlight w:val="yellow"/>
                <w:lang w:eastAsia="en-US"/>
              </w:rPr>
            </w:pPr>
          </w:p>
        </w:tc>
      </w:tr>
      <w:tr w:rsidR="00454CB3" w:rsidRPr="00A57A9C" w:rsidTr="00B55CB6">
        <w:tc>
          <w:tcPr>
            <w:tcW w:w="1101" w:type="dxa"/>
          </w:tcPr>
          <w:p w:rsidR="00454CB3" w:rsidRPr="00A63817" w:rsidRDefault="00454CB3" w:rsidP="007E348B">
            <w:pPr>
              <w:rPr>
                <w:b/>
                <w:snapToGrid w:val="0"/>
                <w:szCs w:val="24"/>
                <w:lang w:eastAsia="en-US"/>
              </w:rPr>
            </w:pPr>
            <w:r w:rsidRPr="00A63817">
              <w:rPr>
                <w:b/>
                <w:snapToGrid w:val="0"/>
                <w:szCs w:val="24"/>
                <w:lang w:eastAsia="en-US"/>
              </w:rPr>
              <w:t>B</w:t>
            </w:r>
          </w:p>
        </w:tc>
        <w:tc>
          <w:tcPr>
            <w:tcW w:w="6945" w:type="dxa"/>
          </w:tcPr>
          <w:p w:rsidR="00454CB3" w:rsidRPr="00A63817" w:rsidRDefault="00454CB3" w:rsidP="00454CB3">
            <w:pPr>
              <w:rPr>
                <w:b/>
                <w:snapToGrid w:val="0"/>
                <w:szCs w:val="24"/>
                <w:lang w:eastAsia="en-US"/>
              </w:rPr>
            </w:pPr>
            <w:r w:rsidRPr="00A63817">
              <w:rPr>
                <w:b/>
                <w:snapToGrid w:val="0"/>
                <w:szCs w:val="24"/>
                <w:lang w:eastAsia="en-US"/>
              </w:rPr>
              <w:t xml:space="preserve">Overview of Management and Financial Performance </w:t>
            </w:r>
          </w:p>
        </w:tc>
        <w:tc>
          <w:tcPr>
            <w:tcW w:w="1807" w:type="dxa"/>
          </w:tcPr>
          <w:p w:rsidR="00454CB3" w:rsidRPr="0083436C" w:rsidRDefault="004D52E9" w:rsidP="00EE6828">
            <w:pPr>
              <w:jc w:val="center"/>
              <w:rPr>
                <w:b/>
                <w:snapToGrid w:val="0"/>
                <w:szCs w:val="24"/>
                <w:highlight w:val="yellow"/>
                <w:lang w:eastAsia="en-US"/>
              </w:rPr>
            </w:pPr>
            <w:r w:rsidRPr="009110E3">
              <w:rPr>
                <w:b/>
                <w:snapToGrid w:val="0"/>
                <w:szCs w:val="24"/>
                <w:lang w:eastAsia="en-US"/>
              </w:rPr>
              <w:t>2</w:t>
            </w:r>
          </w:p>
        </w:tc>
      </w:tr>
      <w:tr w:rsidR="00454CB3" w:rsidRPr="00A57A9C" w:rsidTr="00B55CB6">
        <w:tc>
          <w:tcPr>
            <w:tcW w:w="1101" w:type="dxa"/>
          </w:tcPr>
          <w:p w:rsidR="00454CB3" w:rsidRPr="00A57A9C" w:rsidRDefault="00454CB3" w:rsidP="007E348B">
            <w:pPr>
              <w:rPr>
                <w:b/>
                <w:snapToGrid w:val="0"/>
                <w:szCs w:val="24"/>
                <w:highlight w:val="yellow"/>
                <w:lang w:eastAsia="en-US"/>
              </w:rPr>
            </w:pPr>
          </w:p>
        </w:tc>
        <w:tc>
          <w:tcPr>
            <w:tcW w:w="6945" w:type="dxa"/>
          </w:tcPr>
          <w:p w:rsidR="00454CB3" w:rsidRPr="00A63817" w:rsidRDefault="00454CB3" w:rsidP="007E348B">
            <w:pPr>
              <w:rPr>
                <w:b/>
                <w:snapToGrid w:val="0"/>
                <w:szCs w:val="24"/>
                <w:lang w:eastAsia="en-US"/>
              </w:rPr>
            </w:pPr>
          </w:p>
        </w:tc>
        <w:tc>
          <w:tcPr>
            <w:tcW w:w="1807" w:type="dxa"/>
          </w:tcPr>
          <w:p w:rsidR="00454CB3" w:rsidRPr="0083436C" w:rsidRDefault="00454CB3" w:rsidP="00EE6828">
            <w:pPr>
              <w:jc w:val="center"/>
              <w:rPr>
                <w:b/>
                <w:snapToGrid w:val="0"/>
                <w:szCs w:val="24"/>
                <w:highlight w:val="yellow"/>
                <w:lang w:eastAsia="en-US"/>
              </w:rPr>
            </w:pPr>
          </w:p>
        </w:tc>
      </w:tr>
      <w:tr w:rsidR="00454CB3" w:rsidRPr="00A57A9C" w:rsidTr="00B55CB6">
        <w:tc>
          <w:tcPr>
            <w:tcW w:w="1101" w:type="dxa"/>
          </w:tcPr>
          <w:p w:rsidR="00454CB3" w:rsidRPr="00FC2CFF" w:rsidRDefault="00454CB3" w:rsidP="007E348B">
            <w:pPr>
              <w:rPr>
                <w:b/>
                <w:snapToGrid w:val="0"/>
                <w:szCs w:val="24"/>
                <w:lang w:eastAsia="en-US"/>
              </w:rPr>
            </w:pPr>
            <w:r w:rsidRPr="00FC2CFF">
              <w:rPr>
                <w:b/>
                <w:snapToGrid w:val="0"/>
                <w:szCs w:val="24"/>
                <w:lang w:eastAsia="en-US"/>
              </w:rPr>
              <w:t>C</w:t>
            </w:r>
          </w:p>
        </w:tc>
        <w:tc>
          <w:tcPr>
            <w:tcW w:w="6945" w:type="dxa"/>
          </w:tcPr>
          <w:p w:rsidR="00454CB3" w:rsidRPr="00FC2CFF" w:rsidRDefault="00454CB3" w:rsidP="007E348B">
            <w:pPr>
              <w:rPr>
                <w:b/>
                <w:snapToGrid w:val="0"/>
                <w:szCs w:val="24"/>
                <w:lang w:eastAsia="en-US"/>
              </w:rPr>
            </w:pPr>
            <w:r w:rsidRPr="00FC2CFF">
              <w:rPr>
                <w:b/>
                <w:snapToGrid w:val="0"/>
                <w:szCs w:val="24"/>
                <w:lang w:eastAsia="en-US"/>
              </w:rPr>
              <w:t>Governance of the Fund</w:t>
            </w:r>
          </w:p>
        </w:tc>
        <w:tc>
          <w:tcPr>
            <w:tcW w:w="1807" w:type="dxa"/>
          </w:tcPr>
          <w:p w:rsidR="00454CB3" w:rsidRPr="0083436C" w:rsidRDefault="004D52E9" w:rsidP="00EE6828">
            <w:pPr>
              <w:jc w:val="center"/>
              <w:rPr>
                <w:b/>
                <w:snapToGrid w:val="0"/>
                <w:szCs w:val="24"/>
                <w:highlight w:val="yellow"/>
                <w:lang w:eastAsia="en-US"/>
              </w:rPr>
            </w:pPr>
            <w:r w:rsidRPr="009110E3">
              <w:rPr>
                <w:b/>
                <w:snapToGrid w:val="0"/>
                <w:szCs w:val="24"/>
                <w:lang w:eastAsia="en-US"/>
              </w:rPr>
              <w:t>4</w:t>
            </w:r>
          </w:p>
        </w:tc>
      </w:tr>
      <w:tr w:rsidR="00454CB3" w:rsidRPr="00A57A9C" w:rsidTr="00B55CB6">
        <w:tc>
          <w:tcPr>
            <w:tcW w:w="1101" w:type="dxa"/>
          </w:tcPr>
          <w:p w:rsidR="00454CB3" w:rsidRPr="00A57A9C" w:rsidRDefault="00454CB3" w:rsidP="007E348B">
            <w:pPr>
              <w:rPr>
                <w:b/>
                <w:snapToGrid w:val="0"/>
                <w:szCs w:val="24"/>
                <w:highlight w:val="yellow"/>
                <w:lang w:eastAsia="en-US"/>
              </w:rPr>
            </w:pPr>
          </w:p>
        </w:tc>
        <w:tc>
          <w:tcPr>
            <w:tcW w:w="6945" w:type="dxa"/>
          </w:tcPr>
          <w:p w:rsidR="00454CB3" w:rsidRPr="00A57A9C" w:rsidRDefault="00454CB3" w:rsidP="007E348B">
            <w:pPr>
              <w:rPr>
                <w:b/>
                <w:snapToGrid w:val="0"/>
                <w:szCs w:val="24"/>
                <w:highlight w:val="yellow"/>
                <w:lang w:eastAsia="en-US"/>
              </w:rPr>
            </w:pPr>
          </w:p>
        </w:tc>
        <w:tc>
          <w:tcPr>
            <w:tcW w:w="1807" w:type="dxa"/>
          </w:tcPr>
          <w:p w:rsidR="00454CB3" w:rsidRPr="0083436C" w:rsidRDefault="00454CB3" w:rsidP="00EE6828">
            <w:pPr>
              <w:jc w:val="center"/>
              <w:rPr>
                <w:b/>
                <w:snapToGrid w:val="0"/>
                <w:szCs w:val="24"/>
                <w:highlight w:val="yellow"/>
                <w:lang w:eastAsia="en-US"/>
              </w:rPr>
            </w:pPr>
          </w:p>
        </w:tc>
      </w:tr>
      <w:tr w:rsidR="00454CB3" w:rsidRPr="00A57A9C" w:rsidTr="00B55CB6">
        <w:tc>
          <w:tcPr>
            <w:tcW w:w="1101" w:type="dxa"/>
          </w:tcPr>
          <w:p w:rsidR="00454CB3" w:rsidRPr="00FB0AFF" w:rsidRDefault="00454CB3" w:rsidP="007E348B">
            <w:pPr>
              <w:rPr>
                <w:b/>
                <w:snapToGrid w:val="0"/>
                <w:szCs w:val="24"/>
                <w:lang w:eastAsia="en-US"/>
              </w:rPr>
            </w:pPr>
            <w:r w:rsidRPr="00FB0AFF">
              <w:rPr>
                <w:b/>
                <w:snapToGrid w:val="0"/>
                <w:szCs w:val="24"/>
                <w:lang w:eastAsia="en-US"/>
              </w:rPr>
              <w:t>D</w:t>
            </w:r>
          </w:p>
        </w:tc>
        <w:tc>
          <w:tcPr>
            <w:tcW w:w="6945" w:type="dxa"/>
          </w:tcPr>
          <w:p w:rsidR="00454CB3" w:rsidRPr="00FB0AFF" w:rsidRDefault="00454CB3" w:rsidP="007E348B">
            <w:pPr>
              <w:rPr>
                <w:b/>
                <w:snapToGrid w:val="0"/>
                <w:szCs w:val="24"/>
                <w:lang w:eastAsia="en-US"/>
              </w:rPr>
            </w:pPr>
            <w:r w:rsidRPr="00FB0AFF">
              <w:rPr>
                <w:b/>
                <w:snapToGrid w:val="0"/>
                <w:szCs w:val="24"/>
                <w:lang w:eastAsia="en-US"/>
              </w:rPr>
              <w:t>Administration of the Fund</w:t>
            </w:r>
          </w:p>
        </w:tc>
        <w:tc>
          <w:tcPr>
            <w:tcW w:w="1807" w:type="dxa"/>
          </w:tcPr>
          <w:p w:rsidR="00454CB3" w:rsidRPr="0083436C" w:rsidRDefault="004D52E9" w:rsidP="00EE6828">
            <w:pPr>
              <w:jc w:val="center"/>
              <w:rPr>
                <w:b/>
                <w:snapToGrid w:val="0"/>
                <w:szCs w:val="24"/>
                <w:highlight w:val="yellow"/>
                <w:lang w:eastAsia="en-US"/>
              </w:rPr>
            </w:pPr>
            <w:r w:rsidRPr="009110E3">
              <w:rPr>
                <w:b/>
                <w:snapToGrid w:val="0"/>
                <w:szCs w:val="24"/>
                <w:lang w:eastAsia="en-US"/>
              </w:rPr>
              <w:t>8</w:t>
            </w:r>
          </w:p>
        </w:tc>
      </w:tr>
      <w:tr w:rsidR="00454CB3" w:rsidRPr="00A57A9C" w:rsidTr="00B55CB6">
        <w:tc>
          <w:tcPr>
            <w:tcW w:w="1101" w:type="dxa"/>
          </w:tcPr>
          <w:p w:rsidR="00454CB3" w:rsidRPr="00A57A9C" w:rsidRDefault="00454CB3" w:rsidP="007E348B">
            <w:pPr>
              <w:rPr>
                <w:b/>
                <w:snapToGrid w:val="0"/>
                <w:szCs w:val="24"/>
                <w:highlight w:val="yellow"/>
                <w:lang w:eastAsia="en-US"/>
              </w:rPr>
            </w:pPr>
          </w:p>
        </w:tc>
        <w:tc>
          <w:tcPr>
            <w:tcW w:w="6945" w:type="dxa"/>
          </w:tcPr>
          <w:p w:rsidR="00454CB3" w:rsidRPr="00A57A9C" w:rsidRDefault="00454CB3" w:rsidP="007E348B">
            <w:pPr>
              <w:rPr>
                <w:b/>
                <w:snapToGrid w:val="0"/>
                <w:szCs w:val="24"/>
                <w:highlight w:val="yellow"/>
                <w:lang w:eastAsia="en-US"/>
              </w:rPr>
            </w:pPr>
          </w:p>
        </w:tc>
        <w:tc>
          <w:tcPr>
            <w:tcW w:w="1807" w:type="dxa"/>
          </w:tcPr>
          <w:p w:rsidR="00454CB3" w:rsidRPr="0083436C" w:rsidRDefault="00454CB3" w:rsidP="00EE6828">
            <w:pPr>
              <w:jc w:val="center"/>
              <w:rPr>
                <w:b/>
                <w:snapToGrid w:val="0"/>
                <w:szCs w:val="24"/>
                <w:highlight w:val="yellow"/>
                <w:lang w:eastAsia="en-US"/>
              </w:rPr>
            </w:pPr>
          </w:p>
        </w:tc>
      </w:tr>
      <w:tr w:rsidR="00454CB3" w:rsidRPr="00A57A9C" w:rsidTr="00B55CB6">
        <w:tc>
          <w:tcPr>
            <w:tcW w:w="1101" w:type="dxa"/>
          </w:tcPr>
          <w:p w:rsidR="00454CB3" w:rsidRPr="00A63817" w:rsidRDefault="00454CB3" w:rsidP="007E348B">
            <w:pPr>
              <w:rPr>
                <w:b/>
                <w:snapToGrid w:val="0"/>
                <w:szCs w:val="24"/>
                <w:lang w:eastAsia="en-US"/>
              </w:rPr>
            </w:pPr>
            <w:r w:rsidRPr="00A63817">
              <w:rPr>
                <w:b/>
                <w:snapToGrid w:val="0"/>
                <w:szCs w:val="24"/>
                <w:lang w:eastAsia="en-US"/>
              </w:rPr>
              <w:t>E</w:t>
            </w:r>
          </w:p>
        </w:tc>
        <w:tc>
          <w:tcPr>
            <w:tcW w:w="6945" w:type="dxa"/>
          </w:tcPr>
          <w:p w:rsidR="00454CB3" w:rsidRPr="00A63817" w:rsidRDefault="00454CB3" w:rsidP="007E348B">
            <w:pPr>
              <w:rPr>
                <w:b/>
                <w:snapToGrid w:val="0"/>
                <w:szCs w:val="24"/>
                <w:lang w:eastAsia="en-US"/>
              </w:rPr>
            </w:pPr>
            <w:r w:rsidRPr="00A63817">
              <w:rPr>
                <w:b/>
                <w:snapToGrid w:val="0"/>
                <w:szCs w:val="24"/>
                <w:lang w:eastAsia="en-US"/>
              </w:rPr>
              <w:t>Investment Policy and Performance</w:t>
            </w:r>
          </w:p>
        </w:tc>
        <w:tc>
          <w:tcPr>
            <w:tcW w:w="1807" w:type="dxa"/>
          </w:tcPr>
          <w:p w:rsidR="00454CB3" w:rsidRPr="0083436C" w:rsidRDefault="009110E3" w:rsidP="00FC2CFF">
            <w:pPr>
              <w:jc w:val="center"/>
              <w:rPr>
                <w:b/>
                <w:snapToGrid w:val="0"/>
                <w:szCs w:val="24"/>
                <w:highlight w:val="yellow"/>
                <w:lang w:eastAsia="en-US"/>
              </w:rPr>
            </w:pPr>
            <w:r w:rsidRPr="009110E3">
              <w:rPr>
                <w:b/>
                <w:snapToGrid w:val="0"/>
                <w:szCs w:val="24"/>
                <w:lang w:eastAsia="en-US"/>
              </w:rPr>
              <w:t>12</w:t>
            </w:r>
          </w:p>
        </w:tc>
      </w:tr>
      <w:tr w:rsidR="00454CB3" w:rsidRPr="00A57A9C" w:rsidTr="00B55CB6">
        <w:tc>
          <w:tcPr>
            <w:tcW w:w="1101" w:type="dxa"/>
          </w:tcPr>
          <w:p w:rsidR="00454CB3" w:rsidRPr="00A57A9C" w:rsidRDefault="00454CB3" w:rsidP="007E348B">
            <w:pPr>
              <w:rPr>
                <w:b/>
                <w:snapToGrid w:val="0"/>
                <w:szCs w:val="24"/>
                <w:highlight w:val="yellow"/>
                <w:lang w:eastAsia="en-US"/>
              </w:rPr>
            </w:pPr>
          </w:p>
        </w:tc>
        <w:tc>
          <w:tcPr>
            <w:tcW w:w="6945" w:type="dxa"/>
          </w:tcPr>
          <w:p w:rsidR="00454CB3" w:rsidRPr="00A57A9C" w:rsidRDefault="00454CB3" w:rsidP="007E348B">
            <w:pPr>
              <w:rPr>
                <w:b/>
                <w:snapToGrid w:val="0"/>
                <w:szCs w:val="24"/>
                <w:highlight w:val="yellow"/>
                <w:lang w:eastAsia="en-US"/>
              </w:rPr>
            </w:pPr>
          </w:p>
        </w:tc>
        <w:tc>
          <w:tcPr>
            <w:tcW w:w="1807" w:type="dxa"/>
          </w:tcPr>
          <w:p w:rsidR="00454CB3" w:rsidRPr="0083436C" w:rsidRDefault="00454CB3" w:rsidP="00EE6828">
            <w:pPr>
              <w:jc w:val="center"/>
              <w:rPr>
                <w:b/>
                <w:snapToGrid w:val="0"/>
                <w:szCs w:val="24"/>
                <w:highlight w:val="yellow"/>
                <w:lang w:eastAsia="en-US"/>
              </w:rPr>
            </w:pPr>
          </w:p>
        </w:tc>
      </w:tr>
      <w:tr w:rsidR="00454CB3" w:rsidRPr="00A57A9C" w:rsidTr="00B55CB6">
        <w:tc>
          <w:tcPr>
            <w:tcW w:w="1101" w:type="dxa"/>
          </w:tcPr>
          <w:p w:rsidR="00454CB3" w:rsidRPr="00FC2CFF" w:rsidRDefault="00454CB3" w:rsidP="007E348B">
            <w:pPr>
              <w:rPr>
                <w:b/>
                <w:snapToGrid w:val="0"/>
                <w:szCs w:val="24"/>
                <w:lang w:eastAsia="en-US"/>
              </w:rPr>
            </w:pPr>
            <w:r w:rsidRPr="00FC2CFF">
              <w:rPr>
                <w:b/>
                <w:snapToGrid w:val="0"/>
                <w:szCs w:val="24"/>
                <w:lang w:eastAsia="en-US"/>
              </w:rPr>
              <w:t>F</w:t>
            </w:r>
          </w:p>
        </w:tc>
        <w:tc>
          <w:tcPr>
            <w:tcW w:w="6945" w:type="dxa"/>
          </w:tcPr>
          <w:p w:rsidR="00454CB3" w:rsidRPr="00FC2CFF" w:rsidRDefault="00454CB3" w:rsidP="007E348B">
            <w:pPr>
              <w:rPr>
                <w:b/>
                <w:snapToGrid w:val="0"/>
                <w:szCs w:val="24"/>
                <w:lang w:eastAsia="en-US"/>
              </w:rPr>
            </w:pPr>
            <w:r w:rsidRPr="00FC2CFF">
              <w:rPr>
                <w:b/>
                <w:snapToGrid w:val="0"/>
                <w:szCs w:val="24"/>
                <w:lang w:eastAsia="en-US"/>
              </w:rPr>
              <w:t>Accounts of the Fund</w:t>
            </w:r>
          </w:p>
        </w:tc>
        <w:tc>
          <w:tcPr>
            <w:tcW w:w="1807" w:type="dxa"/>
          </w:tcPr>
          <w:p w:rsidR="00454CB3" w:rsidRPr="0083436C" w:rsidRDefault="004D52E9" w:rsidP="003B1844">
            <w:pPr>
              <w:jc w:val="center"/>
              <w:rPr>
                <w:b/>
                <w:snapToGrid w:val="0"/>
                <w:szCs w:val="24"/>
                <w:highlight w:val="yellow"/>
                <w:lang w:eastAsia="en-US"/>
              </w:rPr>
            </w:pPr>
            <w:r w:rsidRPr="009110E3">
              <w:rPr>
                <w:b/>
                <w:snapToGrid w:val="0"/>
                <w:szCs w:val="24"/>
                <w:lang w:eastAsia="en-US"/>
              </w:rPr>
              <w:t>2</w:t>
            </w:r>
            <w:r w:rsidR="003B1844">
              <w:rPr>
                <w:b/>
                <w:snapToGrid w:val="0"/>
                <w:szCs w:val="24"/>
                <w:lang w:eastAsia="en-US"/>
              </w:rPr>
              <w:t>1</w:t>
            </w:r>
          </w:p>
        </w:tc>
      </w:tr>
      <w:tr w:rsidR="00454CB3" w:rsidRPr="00A57A9C" w:rsidTr="00B55CB6">
        <w:tc>
          <w:tcPr>
            <w:tcW w:w="1101" w:type="dxa"/>
          </w:tcPr>
          <w:p w:rsidR="00454CB3" w:rsidRPr="00A57A9C" w:rsidRDefault="00454CB3" w:rsidP="007E348B">
            <w:pPr>
              <w:rPr>
                <w:b/>
                <w:snapToGrid w:val="0"/>
                <w:szCs w:val="24"/>
                <w:highlight w:val="yellow"/>
                <w:lang w:eastAsia="en-US"/>
              </w:rPr>
            </w:pPr>
          </w:p>
        </w:tc>
        <w:tc>
          <w:tcPr>
            <w:tcW w:w="6945" w:type="dxa"/>
          </w:tcPr>
          <w:p w:rsidR="00454CB3" w:rsidRPr="00A57A9C" w:rsidRDefault="00454CB3" w:rsidP="007E348B">
            <w:pPr>
              <w:rPr>
                <w:b/>
                <w:snapToGrid w:val="0"/>
                <w:szCs w:val="24"/>
                <w:highlight w:val="yellow"/>
                <w:lang w:eastAsia="en-US"/>
              </w:rPr>
            </w:pPr>
          </w:p>
        </w:tc>
        <w:tc>
          <w:tcPr>
            <w:tcW w:w="1807" w:type="dxa"/>
          </w:tcPr>
          <w:p w:rsidR="00454CB3" w:rsidRPr="0083436C" w:rsidRDefault="00454CB3" w:rsidP="00EE6828">
            <w:pPr>
              <w:jc w:val="center"/>
              <w:rPr>
                <w:b/>
                <w:snapToGrid w:val="0"/>
                <w:szCs w:val="24"/>
                <w:highlight w:val="yellow"/>
                <w:lang w:eastAsia="en-US"/>
              </w:rPr>
            </w:pPr>
          </w:p>
        </w:tc>
      </w:tr>
      <w:tr w:rsidR="00454CB3" w:rsidRPr="00A57A9C" w:rsidTr="00B55CB6">
        <w:tc>
          <w:tcPr>
            <w:tcW w:w="1101" w:type="dxa"/>
          </w:tcPr>
          <w:p w:rsidR="00454CB3" w:rsidRPr="00A63817" w:rsidRDefault="00454CB3" w:rsidP="007E348B">
            <w:pPr>
              <w:rPr>
                <w:b/>
                <w:snapToGrid w:val="0"/>
                <w:szCs w:val="24"/>
                <w:lang w:eastAsia="en-US"/>
              </w:rPr>
            </w:pPr>
            <w:r w:rsidRPr="00A63817">
              <w:rPr>
                <w:b/>
                <w:snapToGrid w:val="0"/>
                <w:szCs w:val="24"/>
                <w:lang w:eastAsia="en-US"/>
              </w:rPr>
              <w:t>G</w:t>
            </w:r>
          </w:p>
        </w:tc>
        <w:tc>
          <w:tcPr>
            <w:tcW w:w="6945" w:type="dxa"/>
          </w:tcPr>
          <w:p w:rsidR="00454CB3" w:rsidRPr="00A57A9C" w:rsidRDefault="00454CB3" w:rsidP="00454CB3">
            <w:pPr>
              <w:rPr>
                <w:b/>
                <w:snapToGrid w:val="0"/>
                <w:szCs w:val="24"/>
                <w:highlight w:val="yellow"/>
                <w:lang w:eastAsia="en-US"/>
              </w:rPr>
            </w:pPr>
            <w:r w:rsidRPr="00A63817">
              <w:rPr>
                <w:b/>
                <w:snapToGrid w:val="0"/>
                <w:szCs w:val="24"/>
                <w:lang w:eastAsia="en-US"/>
              </w:rPr>
              <w:t>Actuarial Valuation</w:t>
            </w:r>
          </w:p>
        </w:tc>
        <w:tc>
          <w:tcPr>
            <w:tcW w:w="1807" w:type="dxa"/>
          </w:tcPr>
          <w:p w:rsidR="00454CB3" w:rsidRPr="0083436C" w:rsidRDefault="009110E3" w:rsidP="003B1844">
            <w:pPr>
              <w:jc w:val="center"/>
              <w:rPr>
                <w:b/>
                <w:snapToGrid w:val="0"/>
                <w:szCs w:val="24"/>
                <w:highlight w:val="yellow"/>
                <w:lang w:eastAsia="en-US"/>
              </w:rPr>
            </w:pPr>
            <w:r w:rsidRPr="009110E3">
              <w:rPr>
                <w:b/>
                <w:snapToGrid w:val="0"/>
                <w:szCs w:val="24"/>
                <w:lang w:eastAsia="en-US"/>
              </w:rPr>
              <w:t>5</w:t>
            </w:r>
            <w:r w:rsidR="003B1844">
              <w:rPr>
                <w:b/>
                <w:snapToGrid w:val="0"/>
                <w:szCs w:val="24"/>
                <w:lang w:eastAsia="en-US"/>
              </w:rPr>
              <w:t>8</w:t>
            </w:r>
          </w:p>
        </w:tc>
      </w:tr>
      <w:tr w:rsidR="005F7CB6" w:rsidRPr="00A57A9C" w:rsidTr="00B55CB6">
        <w:tc>
          <w:tcPr>
            <w:tcW w:w="1101" w:type="dxa"/>
          </w:tcPr>
          <w:p w:rsidR="005F7CB6" w:rsidRPr="00A57A9C" w:rsidRDefault="005F7CB6" w:rsidP="007E348B">
            <w:pPr>
              <w:rPr>
                <w:b/>
                <w:snapToGrid w:val="0"/>
                <w:szCs w:val="24"/>
                <w:highlight w:val="yellow"/>
                <w:lang w:eastAsia="en-US"/>
              </w:rPr>
            </w:pPr>
          </w:p>
        </w:tc>
        <w:tc>
          <w:tcPr>
            <w:tcW w:w="6945" w:type="dxa"/>
          </w:tcPr>
          <w:p w:rsidR="005F7CB6" w:rsidRPr="00A57A9C" w:rsidRDefault="005F7CB6" w:rsidP="00454CB3">
            <w:pPr>
              <w:rPr>
                <w:b/>
                <w:snapToGrid w:val="0"/>
                <w:szCs w:val="24"/>
                <w:highlight w:val="yellow"/>
                <w:lang w:eastAsia="en-US"/>
              </w:rPr>
            </w:pPr>
          </w:p>
        </w:tc>
        <w:tc>
          <w:tcPr>
            <w:tcW w:w="1807" w:type="dxa"/>
          </w:tcPr>
          <w:p w:rsidR="005F7CB6" w:rsidRPr="0083436C" w:rsidRDefault="005F7CB6" w:rsidP="00EE6828">
            <w:pPr>
              <w:jc w:val="center"/>
              <w:rPr>
                <w:b/>
                <w:snapToGrid w:val="0"/>
                <w:szCs w:val="24"/>
                <w:highlight w:val="yellow"/>
                <w:lang w:eastAsia="en-US"/>
              </w:rPr>
            </w:pPr>
          </w:p>
        </w:tc>
      </w:tr>
      <w:tr w:rsidR="00454CB3" w:rsidRPr="00EE6828" w:rsidTr="00B932F0">
        <w:trPr>
          <w:trHeight w:val="3969"/>
        </w:trPr>
        <w:tc>
          <w:tcPr>
            <w:tcW w:w="1101" w:type="dxa"/>
          </w:tcPr>
          <w:p w:rsidR="00454CB3" w:rsidRDefault="005F7CB6" w:rsidP="007E348B">
            <w:pPr>
              <w:rPr>
                <w:b/>
                <w:snapToGrid w:val="0"/>
                <w:szCs w:val="24"/>
                <w:lang w:eastAsia="en-US"/>
              </w:rPr>
            </w:pPr>
            <w:r w:rsidRPr="00FC2CFF">
              <w:rPr>
                <w:b/>
                <w:snapToGrid w:val="0"/>
                <w:szCs w:val="24"/>
                <w:lang w:eastAsia="en-US"/>
              </w:rPr>
              <w:t>H</w:t>
            </w:r>
          </w:p>
          <w:p w:rsidR="0013578F" w:rsidRDefault="0013578F" w:rsidP="007E348B">
            <w:pPr>
              <w:rPr>
                <w:b/>
                <w:snapToGrid w:val="0"/>
                <w:szCs w:val="24"/>
                <w:lang w:eastAsia="en-US"/>
              </w:rPr>
            </w:pPr>
          </w:p>
          <w:p w:rsidR="0013578F" w:rsidRPr="00FC2CFF" w:rsidRDefault="0013578F" w:rsidP="007E348B">
            <w:pPr>
              <w:rPr>
                <w:b/>
                <w:snapToGrid w:val="0"/>
                <w:szCs w:val="24"/>
                <w:lang w:eastAsia="en-US"/>
              </w:rPr>
            </w:pPr>
          </w:p>
        </w:tc>
        <w:tc>
          <w:tcPr>
            <w:tcW w:w="6945" w:type="dxa"/>
          </w:tcPr>
          <w:p w:rsidR="00991666" w:rsidRDefault="00454CB3">
            <w:pPr>
              <w:rPr>
                <w:b/>
                <w:snapToGrid w:val="0"/>
                <w:szCs w:val="24"/>
                <w:lang w:eastAsia="en-US"/>
              </w:rPr>
            </w:pPr>
            <w:r w:rsidRPr="00FC2CFF">
              <w:rPr>
                <w:b/>
                <w:snapToGrid w:val="0"/>
                <w:szCs w:val="24"/>
                <w:lang w:eastAsia="en-US"/>
              </w:rPr>
              <w:t>Contacts</w:t>
            </w:r>
          </w:p>
        </w:tc>
        <w:tc>
          <w:tcPr>
            <w:tcW w:w="1807" w:type="dxa"/>
          </w:tcPr>
          <w:p w:rsidR="00991666" w:rsidRDefault="00B932F0">
            <w:pPr>
              <w:jc w:val="center"/>
              <w:rPr>
                <w:b/>
                <w:snapToGrid w:val="0"/>
                <w:szCs w:val="24"/>
                <w:highlight w:val="yellow"/>
                <w:lang w:eastAsia="en-US"/>
              </w:rPr>
            </w:pPr>
            <w:r>
              <w:rPr>
                <w:b/>
                <w:snapToGrid w:val="0"/>
                <w:szCs w:val="24"/>
                <w:lang w:eastAsia="en-US"/>
              </w:rPr>
              <w:t>6</w:t>
            </w:r>
            <w:r w:rsidR="003B1844">
              <w:rPr>
                <w:b/>
                <w:snapToGrid w:val="0"/>
                <w:szCs w:val="24"/>
                <w:lang w:eastAsia="en-US"/>
              </w:rPr>
              <w:t>6</w:t>
            </w:r>
          </w:p>
          <w:p w:rsidR="00991666" w:rsidRDefault="00991666">
            <w:pPr>
              <w:jc w:val="center"/>
              <w:rPr>
                <w:b/>
                <w:snapToGrid w:val="0"/>
                <w:szCs w:val="24"/>
                <w:highlight w:val="yellow"/>
                <w:lang w:eastAsia="en-US"/>
              </w:rPr>
            </w:pPr>
          </w:p>
          <w:p w:rsidR="00991666" w:rsidRDefault="00991666">
            <w:pPr>
              <w:jc w:val="center"/>
              <w:rPr>
                <w:b/>
                <w:snapToGrid w:val="0"/>
                <w:szCs w:val="24"/>
                <w:highlight w:val="yellow"/>
                <w:lang w:eastAsia="en-US"/>
              </w:rPr>
            </w:pPr>
          </w:p>
          <w:p w:rsidR="00991666" w:rsidRDefault="00991666">
            <w:pPr>
              <w:jc w:val="center"/>
              <w:rPr>
                <w:b/>
                <w:snapToGrid w:val="0"/>
                <w:szCs w:val="24"/>
                <w:highlight w:val="yellow"/>
                <w:lang w:eastAsia="en-US"/>
              </w:rPr>
            </w:pPr>
          </w:p>
          <w:p w:rsidR="00991666" w:rsidRDefault="00991666">
            <w:pPr>
              <w:jc w:val="center"/>
              <w:rPr>
                <w:b/>
                <w:snapToGrid w:val="0"/>
                <w:szCs w:val="24"/>
                <w:highlight w:val="yellow"/>
                <w:lang w:eastAsia="en-US"/>
              </w:rPr>
            </w:pPr>
          </w:p>
          <w:p w:rsidR="00991666" w:rsidRDefault="00991666">
            <w:pPr>
              <w:jc w:val="center"/>
              <w:rPr>
                <w:b/>
                <w:snapToGrid w:val="0"/>
                <w:szCs w:val="24"/>
                <w:highlight w:val="yellow"/>
                <w:lang w:eastAsia="en-US"/>
              </w:rPr>
            </w:pPr>
          </w:p>
        </w:tc>
      </w:tr>
    </w:tbl>
    <w:p w:rsidR="00454CB3" w:rsidRDefault="00454CB3" w:rsidP="007E348B">
      <w:pPr>
        <w:rPr>
          <w:b/>
          <w:snapToGrid w:val="0"/>
          <w:sz w:val="28"/>
          <w:lang w:eastAsia="en-US"/>
        </w:rPr>
      </w:pPr>
    </w:p>
    <w:p w:rsidR="003B412F" w:rsidRDefault="003B412F" w:rsidP="007E348B">
      <w:pPr>
        <w:rPr>
          <w:b/>
          <w:snapToGrid w:val="0"/>
          <w:sz w:val="28"/>
          <w:lang w:eastAsia="en-US"/>
        </w:rPr>
      </w:pPr>
    </w:p>
    <w:p w:rsidR="003B412F" w:rsidRPr="00454CB3" w:rsidRDefault="003B412F" w:rsidP="007E348B">
      <w:pPr>
        <w:rPr>
          <w:b/>
          <w:snapToGrid w:val="0"/>
          <w:color w:val="FF0000"/>
          <w:sz w:val="28"/>
          <w:lang w:eastAsia="en-US"/>
        </w:rPr>
      </w:pPr>
    </w:p>
    <w:p w:rsidR="007E348B" w:rsidRDefault="005D730F" w:rsidP="007E348B">
      <w:pPr>
        <w:rPr>
          <w:b/>
          <w:snapToGrid w:val="0"/>
          <w:sz w:val="28"/>
          <w:lang w:eastAsia="en-US"/>
        </w:rPr>
      </w:pPr>
      <w:r>
        <w:rPr>
          <w:b/>
          <w:snapToGrid w:val="0"/>
          <w:sz w:val="28"/>
          <w:lang w:eastAsia="en-US"/>
        </w:rPr>
        <w:br w:type="page"/>
      </w:r>
    </w:p>
    <w:tbl>
      <w:tblPr>
        <w:tblW w:w="10490" w:type="dxa"/>
        <w:tblInd w:w="-176" w:type="dxa"/>
        <w:tblBorders>
          <w:top w:val="single" w:sz="4" w:space="0" w:color="C0C0C0"/>
          <w:left w:val="single" w:sz="4" w:space="0" w:color="C0C0C0"/>
          <w:bottom w:val="single" w:sz="4" w:space="0" w:color="C0C0C0"/>
          <w:right w:val="single" w:sz="4" w:space="0" w:color="C0C0C0"/>
          <w:insideV w:val="single" w:sz="4" w:space="0" w:color="C0C0C0"/>
        </w:tblBorders>
        <w:tblLayout w:type="fixed"/>
        <w:tblLook w:val="0000"/>
      </w:tblPr>
      <w:tblGrid>
        <w:gridCol w:w="10490"/>
      </w:tblGrid>
      <w:tr w:rsidR="00CF2F84">
        <w:trPr>
          <w:trHeight w:val="526"/>
        </w:trPr>
        <w:tc>
          <w:tcPr>
            <w:tcW w:w="10490" w:type="dxa"/>
            <w:tcBorders>
              <w:top w:val="single" w:sz="4" w:space="0" w:color="C0C0C0"/>
              <w:bottom w:val="single" w:sz="4" w:space="0" w:color="C0C0C0"/>
            </w:tcBorders>
          </w:tcPr>
          <w:p w:rsidR="007E348B" w:rsidRPr="00CF2F84" w:rsidRDefault="007E348B" w:rsidP="00011588">
            <w:pPr>
              <w:numPr>
                <w:ilvl w:val="0"/>
                <w:numId w:val="10"/>
              </w:numPr>
              <w:rPr>
                <w:b/>
                <w:snapToGrid w:val="0"/>
                <w:sz w:val="28"/>
                <w:lang w:eastAsia="en-US"/>
              </w:rPr>
            </w:pPr>
            <w:r>
              <w:rPr>
                <w:b/>
                <w:snapToGrid w:val="0"/>
                <w:sz w:val="28"/>
                <w:lang w:eastAsia="en-US"/>
              </w:rPr>
              <w:t xml:space="preserve">Management </w:t>
            </w:r>
            <w:r w:rsidR="005565E8">
              <w:rPr>
                <w:b/>
                <w:snapToGrid w:val="0"/>
                <w:sz w:val="28"/>
                <w:lang w:eastAsia="en-US"/>
              </w:rPr>
              <w:t>Structure</w:t>
            </w:r>
          </w:p>
          <w:p w:rsidR="00CF2F84" w:rsidRDefault="00CF2F84">
            <w:pPr>
              <w:ind w:left="284" w:hanging="284"/>
              <w:rPr>
                <w:b/>
                <w:szCs w:val="24"/>
              </w:rPr>
            </w:pPr>
          </w:p>
          <w:tbl>
            <w:tblPr>
              <w:tblW w:w="10259" w:type="dxa"/>
              <w:tblInd w:w="284" w:type="dxa"/>
              <w:tblLayout w:type="fixed"/>
              <w:tblLook w:val="04A0"/>
            </w:tblPr>
            <w:tblGrid>
              <w:gridCol w:w="3573"/>
              <w:gridCol w:w="3266"/>
              <w:gridCol w:w="3420"/>
            </w:tblGrid>
            <w:tr w:rsidR="00A402A4" w:rsidTr="00A402A4">
              <w:tc>
                <w:tcPr>
                  <w:tcW w:w="3573" w:type="dxa"/>
                </w:tcPr>
                <w:p w:rsidR="00811FEA" w:rsidRDefault="00A402A4" w:rsidP="00A402A4">
                  <w:pPr>
                    <w:ind w:left="284" w:hanging="284"/>
                    <w:rPr>
                      <w:b/>
                      <w:szCs w:val="24"/>
                    </w:rPr>
                  </w:pPr>
                  <w:r>
                    <w:rPr>
                      <w:b/>
                      <w:szCs w:val="24"/>
                    </w:rPr>
                    <w:t xml:space="preserve">Management Structure as </w:t>
                  </w:r>
                  <w:r w:rsidR="00811FEA">
                    <w:rPr>
                      <w:b/>
                      <w:szCs w:val="24"/>
                    </w:rPr>
                    <w:t>at</w:t>
                  </w:r>
                </w:p>
                <w:p w:rsidR="00A402A4" w:rsidRDefault="00A402A4" w:rsidP="00A402A4">
                  <w:pPr>
                    <w:ind w:left="284" w:hanging="284"/>
                    <w:rPr>
                      <w:b/>
                      <w:szCs w:val="24"/>
                    </w:rPr>
                  </w:pPr>
                  <w:r w:rsidRPr="003C4A93">
                    <w:rPr>
                      <w:b/>
                      <w:szCs w:val="24"/>
                    </w:rPr>
                    <w:t>31 March 20</w:t>
                  </w:r>
                  <w:r w:rsidR="00A57A9C">
                    <w:rPr>
                      <w:b/>
                      <w:szCs w:val="24"/>
                    </w:rPr>
                    <w:t>1</w:t>
                  </w:r>
                  <w:r w:rsidR="0083436C">
                    <w:rPr>
                      <w:b/>
                      <w:szCs w:val="24"/>
                    </w:rPr>
                    <w:t>2</w:t>
                  </w:r>
                </w:p>
                <w:p w:rsidR="00A402A4" w:rsidRDefault="00A402A4" w:rsidP="00AC3D87">
                  <w:pPr>
                    <w:rPr>
                      <w:b/>
                    </w:rPr>
                  </w:pPr>
                </w:p>
              </w:tc>
              <w:tc>
                <w:tcPr>
                  <w:tcW w:w="3266" w:type="dxa"/>
                </w:tcPr>
                <w:p w:rsidR="00A402A4" w:rsidRPr="00A402A4" w:rsidRDefault="00206047" w:rsidP="00A402A4">
                  <w:pPr>
                    <w:rPr>
                      <w:b/>
                    </w:rPr>
                  </w:pPr>
                  <w:r w:rsidRPr="00206047">
                    <w:rPr>
                      <w:b/>
                    </w:rPr>
                    <w:t>Administering Authority</w:t>
                  </w:r>
                </w:p>
                <w:p w:rsidR="00A402A4" w:rsidRPr="00A402A4" w:rsidRDefault="00A402A4" w:rsidP="00A402A4">
                  <w:r w:rsidRPr="00A402A4">
                    <w:t>Lancashire County Council</w:t>
                  </w:r>
                </w:p>
                <w:p w:rsidR="00A402A4" w:rsidRDefault="00A402A4" w:rsidP="00AC3D87">
                  <w:pPr>
                    <w:rPr>
                      <w:b/>
                    </w:rPr>
                  </w:pPr>
                </w:p>
              </w:tc>
              <w:tc>
                <w:tcPr>
                  <w:tcW w:w="3420" w:type="dxa"/>
                </w:tcPr>
                <w:p w:rsidR="00A402A4" w:rsidRDefault="00A402A4" w:rsidP="00AC3D87">
                  <w:pPr>
                    <w:rPr>
                      <w:b/>
                    </w:rPr>
                  </w:pPr>
                </w:p>
              </w:tc>
            </w:tr>
            <w:tr w:rsidR="00A402A4" w:rsidTr="00A402A4">
              <w:tc>
                <w:tcPr>
                  <w:tcW w:w="3573" w:type="dxa"/>
                </w:tcPr>
                <w:p w:rsidR="00A402A4" w:rsidRDefault="00A402A4" w:rsidP="00AC3D87">
                  <w:pPr>
                    <w:rPr>
                      <w:b/>
                    </w:rPr>
                  </w:pPr>
                </w:p>
              </w:tc>
              <w:tc>
                <w:tcPr>
                  <w:tcW w:w="3266" w:type="dxa"/>
                </w:tcPr>
                <w:p w:rsidR="00A402A4" w:rsidRDefault="00A402A4" w:rsidP="00AC3D87">
                  <w:pPr>
                    <w:rPr>
                      <w:b/>
                    </w:rPr>
                  </w:pPr>
                </w:p>
              </w:tc>
              <w:tc>
                <w:tcPr>
                  <w:tcW w:w="3420" w:type="dxa"/>
                </w:tcPr>
                <w:p w:rsidR="00A402A4" w:rsidRDefault="00A402A4" w:rsidP="00AC3D87">
                  <w:pPr>
                    <w:rPr>
                      <w:b/>
                    </w:rPr>
                  </w:pPr>
                </w:p>
              </w:tc>
            </w:tr>
            <w:tr w:rsidR="00A402A4" w:rsidTr="00A402A4">
              <w:tc>
                <w:tcPr>
                  <w:tcW w:w="3573" w:type="dxa"/>
                </w:tcPr>
                <w:p w:rsidR="00A402A4" w:rsidRPr="00A402A4" w:rsidRDefault="00206047" w:rsidP="00A402A4">
                  <w:pPr>
                    <w:rPr>
                      <w:b/>
                    </w:rPr>
                  </w:pPr>
                  <w:r w:rsidRPr="00206047">
                    <w:rPr>
                      <w:b/>
                    </w:rPr>
                    <w:t>Pension Fund Committee</w:t>
                  </w:r>
                </w:p>
                <w:p w:rsidR="00A402A4" w:rsidRPr="00A402A4" w:rsidRDefault="00A402A4" w:rsidP="00A402A4">
                  <w:r w:rsidRPr="00A402A4">
                    <w:t>20</w:t>
                  </w:r>
                  <w:r w:rsidR="00A57A9C">
                    <w:t>1</w:t>
                  </w:r>
                  <w:r w:rsidR="0083436C">
                    <w:t>1</w:t>
                  </w:r>
                  <w:r w:rsidRPr="00A402A4">
                    <w:t>/201</w:t>
                  </w:r>
                  <w:r w:rsidR="0083436C">
                    <w:t>2</w:t>
                  </w:r>
                  <w:r w:rsidRPr="00A402A4">
                    <w:t xml:space="preserve"> (as at</w:t>
                  </w:r>
                  <w:r w:rsidR="00814F24">
                    <w:t xml:space="preserve"> 31</w:t>
                  </w:r>
                  <w:r w:rsidRPr="00A402A4">
                    <w:t xml:space="preserve"> March 201</w:t>
                  </w:r>
                  <w:r w:rsidR="0083436C">
                    <w:t>2</w:t>
                  </w:r>
                  <w:r w:rsidRPr="00A402A4">
                    <w:t>)</w:t>
                  </w:r>
                </w:p>
                <w:p w:rsidR="00A402A4" w:rsidRPr="00A402A4" w:rsidRDefault="00A402A4" w:rsidP="00A402A4"/>
                <w:p w:rsidR="00A402A4" w:rsidRPr="00A402A4" w:rsidRDefault="00206047" w:rsidP="00A402A4">
                  <w:pPr>
                    <w:rPr>
                      <w:b/>
                    </w:rPr>
                  </w:pPr>
                  <w:r w:rsidRPr="00206047">
                    <w:rPr>
                      <w:b/>
                    </w:rPr>
                    <w:t>Lancashire County Council</w:t>
                  </w:r>
                </w:p>
                <w:p w:rsidR="00A402A4" w:rsidRPr="00A402A4" w:rsidRDefault="00A402A4" w:rsidP="00A402A4">
                  <w:r w:rsidRPr="00A402A4">
                    <w:t>D A Westley (Chair)</w:t>
                  </w:r>
                </w:p>
                <w:p w:rsidR="00A402A4" w:rsidRPr="00A402A4" w:rsidRDefault="00A402A4" w:rsidP="00A402A4">
                  <w:r w:rsidRPr="00A402A4">
                    <w:t>M J Welsh (</w:t>
                  </w:r>
                  <w:r w:rsidR="0083436C">
                    <w:t>Deputy</w:t>
                  </w:r>
                  <w:r w:rsidRPr="00A402A4">
                    <w:t xml:space="preserve"> Chair)</w:t>
                  </w:r>
                </w:p>
                <w:p w:rsidR="00A402A4" w:rsidRPr="00A402A4" w:rsidRDefault="00A402A4" w:rsidP="00A402A4">
                  <w:r w:rsidRPr="00A402A4">
                    <w:t>T Aldridge</w:t>
                  </w:r>
                </w:p>
                <w:p w:rsidR="00A402A4" w:rsidRDefault="00A402A4" w:rsidP="00A402A4">
                  <w:r w:rsidRPr="00A402A4">
                    <w:t xml:space="preserve">M </w:t>
                  </w:r>
                  <w:r w:rsidR="0055201F">
                    <w:t>Brindle</w:t>
                  </w:r>
                </w:p>
                <w:p w:rsidR="0083436C" w:rsidRPr="00A402A4" w:rsidRDefault="0083436C" w:rsidP="00A402A4">
                  <w:r>
                    <w:t>M Devaney</w:t>
                  </w:r>
                </w:p>
                <w:p w:rsidR="00A402A4" w:rsidRPr="00A402A4" w:rsidRDefault="0055201F" w:rsidP="00A402A4">
                  <w:r>
                    <w:t>P Evans</w:t>
                  </w:r>
                </w:p>
                <w:p w:rsidR="00A402A4" w:rsidRPr="00A402A4" w:rsidRDefault="0055201F" w:rsidP="00A402A4">
                  <w:r>
                    <w:t>M France</w:t>
                  </w:r>
                </w:p>
                <w:p w:rsidR="00A402A4" w:rsidRPr="00A402A4" w:rsidRDefault="0055201F" w:rsidP="00A402A4">
                  <w:r>
                    <w:t>J Lawrenson</w:t>
                  </w:r>
                </w:p>
                <w:p w:rsidR="00A402A4" w:rsidRPr="00A402A4" w:rsidRDefault="0055201F" w:rsidP="00A402A4">
                  <w:r>
                    <w:t>F De Molfetta</w:t>
                  </w:r>
                </w:p>
                <w:p w:rsidR="00A402A4" w:rsidRPr="00A402A4" w:rsidRDefault="0055201F" w:rsidP="00A402A4">
                  <w:r>
                    <w:t>M Parkinson</w:t>
                  </w:r>
                </w:p>
                <w:p w:rsidR="00A402A4" w:rsidRPr="00A402A4" w:rsidRDefault="0055201F" w:rsidP="00A402A4">
                  <w:r>
                    <w:t>T Pimblett</w:t>
                  </w:r>
                </w:p>
                <w:p w:rsidR="00A402A4" w:rsidRPr="00A402A4" w:rsidRDefault="0055201F" w:rsidP="00A402A4">
                  <w:r>
                    <w:t>S Riches</w:t>
                  </w:r>
                </w:p>
                <w:p w:rsidR="00A402A4" w:rsidRPr="00A402A4" w:rsidRDefault="0055201F" w:rsidP="00A402A4">
                  <w:r>
                    <w:t>G Roper</w:t>
                  </w:r>
                </w:p>
                <w:p w:rsidR="00A402A4" w:rsidRPr="00A402A4" w:rsidRDefault="0055201F" w:rsidP="00A402A4">
                  <w:r>
                    <w:t>K Young</w:t>
                  </w:r>
                </w:p>
                <w:p w:rsidR="00A402A4" w:rsidRPr="00A402A4" w:rsidRDefault="00A402A4" w:rsidP="00A402A4"/>
                <w:p w:rsidR="00A402A4" w:rsidRPr="00A402A4" w:rsidRDefault="00206047" w:rsidP="00A402A4">
                  <w:pPr>
                    <w:rPr>
                      <w:b/>
                    </w:rPr>
                  </w:pPr>
                  <w:r w:rsidRPr="00206047">
                    <w:rPr>
                      <w:b/>
                    </w:rPr>
                    <w:t xml:space="preserve">Blackburn with Darwen </w:t>
                  </w:r>
                </w:p>
                <w:p w:rsidR="00A402A4" w:rsidRPr="00A402A4" w:rsidRDefault="00206047" w:rsidP="00A402A4">
                  <w:pPr>
                    <w:rPr>
                      <w:b/>
                    </w:rPr>
                  </w:pPr>
                  <w:r w:rsidRPr="00206047">
                    <w:rPr>
                      <w:b/>
                    </w:rPr>
                    <w:t>Borough Council</w:t>
                  </w:r>
                </w:p>
                <w:p w:rsidR="00A402A4" w:rsidRDefault="0083436C" w:rsidP="00A402A4">
                  <w:r>
                    <w:t>D Walsh</w:t>
                  </w:r>
                </w:p>
                <w:p w:rsidR="0083436C" w:rsidRPr="00A402A4" w:rsidRDefault="0083436C" w:rsidP="00A402A4"/>
                <w:p w:rsidR="00A402A4" w:rsidRPr="00A402A4" w:rsidRDefault="00206047" w:rsidP="00A402A4">
                  <w:pPr>
                    <w:rPr>
                      <w:b/>
                    </w:rPr>
                  </w:pPr>
                  <w:r w:rsidRPr="00206047">
                    <w:rPr>
                      <w:b/>
                    </w:rPr>
                    <w:t>Blackpool Borough Council</w:t>
                  </w:r>
                </w:p>
                <w:p w:rsidR="00A402A4" w:rsidRPr="00A402A4" w:rsidRDefault="0055201F" w:rsidP="00A402A4">
                  <w:r>
                    <w:t>M Smith</w:t>
                  </w:r>
                </w:p>
                <w:p w:rsidR="00A402A4" w:rsidRPr="00A402A4" w:rsidRDefault="00A402A4" w:rsidP="00A402A4"/>
                <w:p w:rsidR="00A402A4" w:rsidRPr="00A402A4" w:rsidRDefault="0083436C" w:rsidP="00A402A4">
                  <w:pPr>
                    <w:rPr>
                      <w:b/>
                    </w:rPr>
                  </w:pPr>
                  <w:r>
                    <w:rPr>
                      <w:b/>
                    </w:rPr>
                    <w:t xml:space="preserve">Lancashire Leaders' Group </w:t>
                  </w:r>
                </w:p>
                <w:p w:rsidR="00A402A4" w:rsidRDefault="00A402A4" w:rsidP="00A402A4">
                  <w:r w:rsidRPr="00A402A4">
                    <w:t>P Goldsworthy</w:t>
                  </w:r>
                </w:p>
                <w:p w:rsidR="00814F24" w:rsidRPr="00A402A4" w:rsidRDefault="00814F24" w:rsidP="00A402A4">
                  <w:r>
                    <w:t>P Doyle</w:t>
                  </w:r>
                </w:p>
                <w:p w:rsidR="00A402A4" w:rsidRPr="00A402A4" w:rsidRDefault="00A402A4" w:rsidP="00A402A4"/>
                <w:p w:rsidR="00A402A4" w:rsidRPr="00A402A4" w:rsidRDefault="00206047" w:rsidP="00A402A4">
                  <w:pPr>
                    <w:rPr>
                      <w:b/>
                    </w:rPr>
                  </w:pPr>
                  <w:r w:rsidRPr="00206047">
                    <w:rPr>
                      <w:b/>
                    </w:rPr>
                    <w:t>Co-opted Members representing  Trade Unions</w:t>
                  </w:r>
                </w:p>
                <w:p w:rsidR="00A402A4" w:rsidRPr="00A402A4" w:rsidRDefault="00A402A4" w:rsidP="00A402A4">
                  <w:r w:rsidRPr="00A402A4">
                    <w:t>R P Harvey</w:t>
                  </w:r>
                </w:p>
                <w:p w:rsidR="00A402A4" w:rsidRDefault="0083436C" w:rsidP="00A402A4">
                  <w:r>
                    <w:t>R Whittle</w:t>
                  </w:r>
                </w:p>
                <w:p w:rsidR="0083436C" w:rsidRPr="00A402A4" w:rsidRDefault="0083436C" w:rsidP="00A402A4"/>
                <w:p w:rsidR="00A402A4" w:rsidRPr="00A402A4" w:rsidRDefault="00206047" w:rsidP="00A402A4">
                  <w:pPr>
                    <w:rPr>
                      <w:b/>
                    </w:rPr>
                  </w:pPr>
                  <w:r w:rsidRPr="00206047">
                    <w:rPr>
                      <w:b/>
                    </w:rPr>
                    <w:t>Co-opted Member representing   HE/FE Establishments</w:t>
                  </w:r>
                </w:p>
                <w:p w:rsidR="00A402A4" w:rsidRDefault="00814F24" w:rsidP="00814F24">
                  <w:pPr>
                    <w:rPr>
                      <w:b/>
                    </w:rPr>
                  </w:pPr>
                  <w:r>
                    <w:t>One vacancy</w:t>
                  </w:r>
                </w:p>
              </w:tc>
              <w:tc>
                <w:tcPr>
                  <w:tcW w:w="3266" w:type="dxa"/>
                </w:tcPr>
                <w:p w:rsidR="00A402A4" w:rsidRPr="006B5964" w:rsidRDefault="00206047" w:rsidP="00A402A4">
                  <w:pPr>
                    <w:rPr>
                      <w:b/>
                    </w:rPr>
                  </w:pPr>
                  <w:r w:rsidRPr="00206047">
                    <w:rPr>
                      <w:b/>
                    </w:rPr>
                    <w:t>Fund Managers</w:t>
                  </w:r>
                </w:p>
                <w:p w:rsidR="00A402A4" w:rsidRPr="00A402A4" w:rsidRDefault="00A402A4" w:rsidP="00A402A4">
                  <w:r w:rsidRPr="00A402A4">
                    <w:t>Legal &amp; General Investment Management</w:t>
                  </w:r>
                </w:p>
                <w:p w:rsidR="00A402A4" w:rsidRPr="00A402A4" w:rsidRDefault="00A402A4" w:rsidP="00A402A4">
                  <w:r w:rsidRPr="00A402A4">
                    <w:t>Newton Investment Management</w:t>
                  </w:r>
                </w:p>
                <w:p w:rsidR="00A402A4" w:rsidRPr="00A402A4" w:rsidRDefault="00A402A4" w:rsidP="00A402A4">
                  <w:r w:rsidRPr="00A402A4">
                    <w:t>J P Morgan Asset Management</w:t>
                  </w:r>
                </w:p>
                <w:p w:rsidR="00A402A4" w:rsidRPr="00A402A4" w:rsidRDefault="00A402A4" w:rsidP="00A402A4">
                  <w:r w:rsidRPr="00A402A4">
                    <w:t>UBS Global Asset Management</w:t>
                  </w:r>
                </w:p>
                <w:p w:rsidR="00A402A4" w:rsidRPr="00A402A4" w:rsidRDefault="00A402A4" w:rsidP="00A402A4">
                  <w:r w:rsidRPr="00A402A4">
                    <w:t>Knight Frank (Rutley Capital Partners)</w:t>
                  </w:r>
                </w:p>
                <w:p w:rsidR="00A402A4" w:rsidRPr="00A402A4" w:rsidRDefault="00A402A4" w:rsidP="00A402A4">
                  <w:r w:rsidRPr="00A402A4">
                    <w:t>Capital Dynamics</w:t>
                  </w:r>
                </w:p>
                <w:p w:rsidR="00A402A4" w:rsidRDefault="00A57A9C" w:rsidP="00A402A4">
                  <w:r>
                    <w:t>Mellon Transition Managemen</w:t>
                  </w:r>
                  <w:r w:rsidR="0055201F">
                    <w:t>t</w:t>
                  </w:r>
                </w:p>
                <w:p w:rsidR="0055201F" w:rsidRPr="00A402A4" w:rsidRDefault="0055201F" w:rsidP="00A402A4"/>
                <w:p w:rsidR="00A402A4" w:rsidRPr="006B5964" w:rsidRDefault="00206047" w:rsidP="00A402A4">
                  <w:pPr>
                    <w:rPr>
                      <w:b/>
                    </w:rPr>
                  </w:pPr>
                  <w:r w:rsidRPr="00206047">
                    <w:rPr>
                      <w:b/>
                    </w:rPr>
                    <w:t>Custodian</w:t>
                  </w:r>
                </w:p>
                <w:p w:rsidR="00A402A4" w:rsidRDefault="0083436C" w:rsidP="00A402A4">
                  <w:r>
                    <w:t>Northern Trust</w:t>
                  </w:r>
                </w:p>
                <w:p w:rsidR="0083436C" w:rsidRPr="00A402A4" w:rsidRDefault="0083436C" w:rsidP="00A402A4"/>
                <w:p w:rsidR="00A402A4" w:rsidRPr="006B5964" w:rsidRDefault="00206047" w:rsidP="00A402A4">
                  <w:pPr>
                    <w:rPr>
                      <w:b/>
                    </w:rPr>
                  </w:pPr>
                  <w:r w:rsidRPr="00206047">
                    <w:rPr>
                      <w:b/>
                    </w:rPr>
                    <w:t>Independent Investment Advisers</w:t>
                  </w:r>
                </w:p>
                <w:p w:rsidR="00A402A4" w:rsidRPr="00A402A4" w:rsidRDefault="00A402A4" w:rsidP="00A402A4">
                  <w:r w:rsidRPr="00A402A4">
                    <w:t>E Lambert</w:t>
                  </w:r>
                </w:p>
                <w:p w:rsidR="00A402A4" w:rsidRPr="00A402A4" w:rsidRDefault="00A402A4" w:rsidP="00A402A4">
                  <w:r w:rsidRPr="00A402A4">
                    <w:t>N Mills</w:t>
                  </w:r>
                </w:p>
                <w:p w:rsidR="00A402A4" w:rsidRPr="00A402A4" w:rsidRDefault="00A402A4" w:rsidP="00A402A4"/>
                <w:p w:rsidR="00A402A4" w:rsidRPr="006B5964" w:rsidRDefault="00206047" w:rsidP="00A402A4">
                  <w:pPr>
                    <w:rPr>
                      <w:b/>
                    </w:rPr>
                  </w:pPr>
                  <w:r w:rsidRPr="00206047">
                    <w:rPr>
                      <w:b/>
                    </w:rPr>
                    <w:t>Treasurer to the Lancashire County Pension Fund</w:t>
                  </w:r>
                </w:p>
                <w:p w:rsidR="00A402A4" w:rsidRDefault="003332F4" w:rsidP="003332F4">
                  <w:pPr>
                    <w:rPr>
                      <w:b/>
                    </w:rPr>
                  </w:pPr>
                  <w:r w:rsidRPr="003332F4">
                    <w:t>G Kilpatrick</w:t>
                  </w:r>
                  <w:r w:rsidR="00A402A4" w:rsidRPr="003332F4">
                    <w:t xml:space="preserve"> CPFA</w:t>
                  </w:r>
                </w:p>
              </w:tc>
              <w:tc>
                <w:tcPr>
                  <w:tcW w:w="3420" w:type="dxa"/>
                </w:tcPr>
                <w:p w:rsidR="00A402A4" w:rsidRPr="006B5964" w:rsidRDefault="00206047" w:rsidP="00A402A4">
                  <w:pPr>
                    <w:rPr>
                      <w:b/>
                    </w:rPr>
                  </w:pPr>
                  <w:r w:rsidRPr="00206047">
                    <w:rPr>
                      <w:b/>
                    </w:rPr>
                    <w:t>Actuary</w:t>
                  </w:r>
                </w:p>
                <w:p w:rsidR="00A402A4" w:rsidRPr="00A402A4" w:rsidRDefault="00A402A4" w:rsidP="00A402A4">
                  <w:r w:rsidRPr="00A402A4">
                    <w:t xml:space="preserve">Mercer </w:t>
                  </w:r>
                </w:p>
                <w:p w:rsidR="00A402A4" w:rsidRPr="00A402A4" w:rsidRDefault="00A402A4" w:rsidP="00A402A4"/>
                <w:p w:rsidR="00A402A4" w:rsidRPr="006B5964" w:rsidRDefault="00206047" w:rsidP="00A402A4">
                  <w:pPr>
                    <w:rPr>
                      <w:b/>
                    </w:rPr>
                  </w:pPr>
                  <w:r w:rsidRPr="00206047">
                    <w:rPr>
                      <w:b/>
                    </w:rPr>
                    <w:t>Auditor</w:t>
                  </w:r>
                </w:p>
                <w:p w:rsidR="00A402A4" w:rsidRPr="00A402A4" w:rsidRDefault="00A402A4" w:rsidP="00A402A4">
                  <w:r w:rsidRPr="00A402A4">
                    <w:t>Audit Commission</w:t>
                  </w:r>
                </w:p>
                <w:p w:rsidR="00A402A4" w:rsidRPr="00A402A4" w:rsidRDefault="00A402A4" w:rsidP="00A402A4"/>
                <w:p w:rsidR="00A402A4" w:rsidRPr="006B5964" w:rsidRDefault="00206047" w:rsidP="00A402A4">
                  <w:pPr>
                    <w:rPr>
                      <w:b/>
                    </w:rPr>
                  </w:pPr>
                  <w:r w:rsidRPr="00206047">
                    <w:rPr>
                      <w:b/>
                    </w:rPr>
                    <w:t>Property Solicitors</w:t>
                  </w:r>
                </w:p>
                <w:p w:rsidR="00A402A4" w:rsidRPr="00A402A4" w:rsidRDefault="00A402A4" w:rsidP="00A402A4">
                  <w:r w:rsidRPr="00A402A4">
                    <w:t>Pinsent Curtis Biddle</w:t>
                  </w:r>
                </w:p>
                <w:p w:rsidR="00A402A4" w:rsidRPr="00A402A4" w:rsidRDefault="00A402A4" w:rsidP="00A402A4">
                  <w:r w:rsidRPr="00A402A4">
                    <w:t>Cobbetts</w:t>
                  </w:r>
                </w:p>
                <w:p w:rsidR="00A402A4" w:rsidRPr="00A402A4" w:rsidRDefault="00A402A4" w:rsidP="00A402A4"/>
                <w:p w:rsidR="00A402A4" w:rsidRPr="006B5964" w:rsidRDefault="00206047" w:rsidP="00A402A4">
                  <w:pPr>
                    <w:rPr>
                      <w:b/>
                    </w:rPr>
                  </w:pPr>
                  <w:r w:rsidRPr="00206047">
                    <w:rPr>
                      <w:b/>
                    </w:rPr>
                    <w:t>Independent Property Valuer</w:t>
                  </w:r>
                </w:p>
                <w:p w:rsidR="00A402A4" w:rsidRPr="00A402A4" w:rsidRDefault="00A402A4" w:rsidP="00A402A4">
                  <w:r w:rsidRPr="00A402A4">
                    <w:t>Cushman &amp; Wakefield</w:t>
                  </w:r>
                </w:p>
                <w:p w:rsidR="00A402A4" w:rsidRPr="00A402A4" w:rsidRDefault="00A402A4" w:rsidP="00A402A4"/>
                <w:p w:rsidR="00A402A4" w:rsidRPr="006B5964" w:rsidRDefault="00206047" w:rsidP="00A402A4">
                  <w:pPr>
                    <w:rPr>
                      <w:b/>
                    </w:rPr>
                  </w:pPr>
                  <w:r w:rsidRPr="00206047">
                    <w:rPr>
                      <w:b/>
                    </w:rPr>
                    <w:t>Corporate Governance Adviser</w:t>
                  </w:r>
                </w:p>
                <w:p w:rsidR="00A402A4" w:rsidRPr="00A402A4" w:rsidRDefault="00A402A4" w:rsidP="00A402A4">
                  <w:r w:rsidRPr="00A402A4">
                    <w:t>PIRC</w:t>
                  </w:r>
                </w:p>
                <w:p w:rsidR="00A402A4" w:rsidRPr="00A402A4" w:rsidRDefault="00A402A4" w:rsidP="00A402A4"/>
                <w:p w:rsidR="00A402A4" w:rsidRPr="006B5964" w:rsidRDefault="00206047" w:rsidP="00A402A4">
                  <w:pPr>
                    <w:rPr>
                      <w:b/>
                    </w:rPr>
                  </w:pPr>
                  <w:r w:rsidRPr="00206047">
                    <w:rPr>
                      <w:b/>
                    </w:rPr>
                    <w:t>Performance Measurement</w:t>
                  </w:r>
                </w:p>
                <w:p w:rsidR="00A402A4" w:rsidRPr="00A402A4" w:rsidRDefault="00A402A4" w:rsidP="00A402A4">
                  <w:r w:rsidRPr="00A402A4">
                    <w:t>WM Company</w:t>
                  </w:r>
                </w:p>
                <w:p w:rsidR="00A402A4" w:rsidRPr="00A402A4" w:rsidRDefault="00A402A4" w:rsidP="00A402A4"/>
                <w:p w:rsidR="00A402A4" w:rsidRPr="006B5964" w:rsidRDefault="00206047" w:rsidP="00A402A4">
                  <w:pPr>
                    <w:rPr>
                      <w:b/>
                    </w:rPr>
                  </w:pPr>
                  <w:r w:rsidRPr="00206047">
                    <w:rPr>
                      <w:b/>
                    </w:rPr>
                    <w:t>AVC Providers</w:t>
                  </w:r>
                </w:p>
                <w:p w:rsidR="00A402A4" w:rsidRPr="00A402A4" w:rsidRDefault="00A402A4" w:rsidP="00A402A4">
                  <w:r w:rsidRPr="00A402A4">
                    <w:t>Prudential</w:t>
                  </w:r>
                </w:p>
                <w:p w:rsidR="00A402A4" w:rsidRPr="00A402A4" w:rsidRDefault="00A402A4" w:rsidP="00A402A4">
                  <w:r w:rsidRPr="00A402A4">
                    <w:t>Equitable Life</w:t>
                  </w:r>
                </w:p>
                <w:p w:rsidR="00A402A4" w:rsidRPr="00A402A4" w:rsidRDefault="00A402A4" w:rsidP="00A402A4"/>
                <w:p w:rsidR="00A402A4" w:rsidRPr="0017515A" w:rsidRDefault="00206047" w:rsidP="00A402A4">
                  <w:pPr>
                    <w:rPr>
                      <w:b/>
                    </w:rPr>
                  </w:pPr>
                  <w:r w:rsidRPr="00206047">
                    <w:rPr>
                      <w:b/>
                    </w:rPr>
                    <w:t>Legal Advisors (other than property)</w:t>
                  </w:r>
                </w:p>
                <w:p w:rsidR="00A402A4" w:rsidRPr="00A402A4" w:rsidRDefault="00A402A4" w:rsidP="00A402A4">
                  <w:r w:rsidRPr="00A402A4">
                    <w:t>In House</w:t>
                  </w:r>
                </w:p>
                <w:p w:rsidR="00A402A4" w:rsidRPr="00A402A4" w:rsidRDefault="00A402A4" w:rsidP="00A402A4"/>
                <w:p w:rsidR="00A402A4" w:rsidRPr="0017515A" w:rsidRDefault="00206047" w:rsidP="00A402A4">
                  <w:pPr>
                    <w:rPr>
                      <w:b/>
                    </w:rPr>
                  </w:pPr>
                  <w:r w:rsidRPr="00206047">
                    <w:rPr>
                      <w:b/>
                    </w:rPr>
                    <w:t>Bankers</w:t>
                  </w:r>
                </w:p>
                <w:p w:rsidR="00A402A4" w:rsidRDefault="00A402A4" w:rsidP="00A402A4">
                  <w:pPr>
                    <w:rPr>
                      <w:b/>
                    </w:rPr>
                  </w:pPr>
                  <w:r w:rsidRPr="00A402A4">
                    <w:t>National Westminster</w:t>
                  </w:r>
                </w:p>
              </w:tc>
            </w:tr>
          </w:tbl>
          <w:p w:rsidR="00A402A4" w:rsidRDefault="00A402A4" w:rsidP="00AC3D87">
            <w:pPr>
              <w:ind w:left="284" w:hanging="284"/>
              <w:rPr>
                <w:b/>
              </w:rPr>
            </w:pPr>
          </w:p>
        </w:tc>
      </w:tr>
      <w:tr w:rsidR="0017515A" w:rsidTr="0017515A">
        <w:trPr>
          <w:trHeight w:val="70"/>
        </w:trPr>
        <w:tc>
          <w:tcPr>
            <w:tcW w:w="10490" w:type="dxa"/>
            <w:tcBorders>
              <w:top w:val="nil"/>
            </w:tcBorders>
          </w:tcPr>
          <w:p w:rsidR="00C95E23" w:rsidRDefault="00C95E23"/>
        </w:tc>
      </w:tr>
    </w:tbl>
    <w:p w:rsidR="007E348B" w:rsidRDefault="008D0911">
      <w:pPr>
        <w:rPr>
          <w:b/>
          <w:snapToGrid w:val="0"/>
          <w:sz w:val="28"/>
          <w:lang w:eastAsia="en-US"/>
        </w:rPr>
      </w:pPr>
      <w:r>
        <w:rPr>
          <w:b/>
          <w:snapToGrid w:val="0"/>
          <w:sz w:val="28"/>
          <w:lang w:eastAsia="en-US"/>
        </w:rPr>
        <w:br w:type="page"/>
      </w:r>
    </w:p>
    <w:p w:rsidR="00FC5EDB" w:rsidRPr="005565E8" w:rsidRDefault="007E348B" w:rsidP="00011588">
      <w:pPr>
        <w:numPr>
          <w:ilvl w:val="0"/>
          <w:numId w:val="10"/>
        </w:numPr>
        <w:rPr>
          <w:b/>
          <w:snapToGrid w:val="0"/>
          <w:sz w:val="28"/>
          <w:szCs w:val="28"/>
          <w:lang w:eastAsia="en-US"/>
        </w:rPr>
      </w:pPr>
      <w:r w:rsidRPr="005565E8">
        <w:rPr>
          <w:b/>
          <w:snapToGrid w:val="0"/>
          <w:sz w:val="28"/>
          <w:szCs w:val="28"/>
          <w:lang w:eastAsia="en-US"/>
        </w:rPr>
        <w:t xml:space="preserve">Overview of Management and Financial Performance </w:t>
      </w:r>
    </w:p>
    <w:p w:rsidR="00730387" w:rsidRDefault="00730387" w:rsidP="00730387"/>
    <w:p w:rsidR="00730387" w:rsidRDefault="00730387" w:rsidP="00730387">
      <w:pPr>
        <w:autoSpaceDE w:val="0"/>
        <w:autoSpaceDN w:val="0"/>
        <w:adjustRightInd w:val="0"/>
        <w:rPr>
          <w:rFonts w:ascii="ArialMT" w:hAnsi="ArialMT" w:cs="ArialMT"/>
          <w:color w:val="000000"/>
          <w:szCs w:val="24"/>
        </w:rPr>
      </w:pPr>
      <w:r w:rsidRPr="00B1662E">
        <w:rPr>
          <w:rFonts w:ascii="ArialMT" w:hAnsi="ArialMT" w:cs="ArialMT"/>
          <w:color w:val="000000"/>
          <w:szCs w:val="24"/>
        </w:rPr>
        <w:t xml:space="preserve">The investment activities of the Lancashire </w:t>
      </w:r>
      <w:r>
        <w:rPr>
          <w:rFonts w:ascii="ArialMT" w:hAnsi="ArialMT" w:cs="ArialMT"/>
          <w:color w:val="000000"/>
          <w:szCs w:val="24"/>
        </w:rPr>
        <w:t>County Pension Fund during 20</w:t>
      </w:r>
      <w:r w:rsidRPr="00B1662E">
        <w:rPr>
          <w:rFonts w:ascii="ArialMT" w:hAnsi="ArialMT" w:cs="ArialMT"/>
          <w:color w:val="000000"/>
          <w:szCs w:val="24"/>
        </w:rPr>
        <w:t>11</w:t>
      </w:r>
      <w:r>
        <w:rPr>
          <w:rFonts w:ascii="ArialMT" w:hAnsi="ArialMT" w:cs="ArialMT"/>
          <w:color w:val="000000"/>
          <w:szCs w:val="24"/>
        </w:rPr>
        <w:t>/12</w:t>
      </w:r>
      <w:r w:rsidRPr="00B1662E">
        <w:rPr>
          <w:rFonts w:ascii="ArialMT" w:hAnsi="ArialMT" w:cs="ArialMT"/>
          <w:color w:val="000000"/>
          <w:szCs w:val="24"/>
        </w:rPr>
        <w:t xml:space="preserve"> have continued to be</w:t>
      </w:r>
      <w:r>
        <w:rPr>
          <w:rFonts w:ascii="ArialMT" w:hAnsi="ArialMT" w:cs="ArialMT"/>
          <w:color w:val="000000"/>
          <w:szCs w:val="24"/>
        </w:rPr>
        <w:t xml:space="preserve"> heavily</w:t>
      </w:r>
      <w:r w:rsidRPr="00B1662E">
        <w:rPr>
          <w:rFonts w:ascii="ArialMT" w:hAnsi="ArialMT" w:cs="ArialMT"/>
          <w:color w:val="000000"/>
          <w:szCs w:val="24"/>
        </w:rPr>
        <w:t xml:space="preserve"> influenced by </w:t>
      </w:r>
      <w:r>
        <w:rPr>
          <w:rFonts w:ascii="ArialMT" w:hAnsi="ArialMT" w:cs="ArialMT"/>
          <w:color w:val="000000"/>
          <w:szCs w:val="24"/>
        </w:rPr>
        <w:t>geo</w:t>
      </w:r>
      <w:r w:rsidRPr="00B1662E">
        <w:rPr>
          <w:rFonts w:ascii="ArialMT" w:hAnsi="ArialMT" w:cs="ArialMT"/>
          <w:color w:val="000000"/>
          <w:szCs w:val="24"/>
        </w:rPr>
        <w:t xml:space="preserve">political events. </w:t>
      </w:r>
    </w:p>
    <w:p w:rsidR="00730387" w:rsidRDefault="00730387" w:rsidP="00730387">
      <w:pPr>
        <w:autoSpaceDE w:val="0"/>
        <w:autoSpaceDN w:val="0"/>
        <w:adjustRightInd w:val="0"/>
        <w:rPr>
          <w:rFonts w:ascii="ArialMT" w:hAnsi="ArialMT" w:cs="ArialMT"/>
          <w:color w:val="000000"/>
          <w:szCs w:val="24"/>
        </w:rPr>
      </w:pPr>
    </w:p>
    <w:p w:rsidR="00730387" w:rsidRDefault="00730387" w:rsidP="00730387">
      <w:pPr>
        <w:autoSpaceDE w:val="0"/>
        <w:autoSpaceDN w:val="0"/>
        <w:adjustRightInd w:val="0"/>
        <w:rPr>
          <w:rFonts w:ascii="ArialMT" w:hAnsi="ArialMT" w:cs="ArialMT"/>
          <w:color w:val="000000"/>
          <w:szCs w:val="24"/>
        </w:rPr>
      </w:pPr>
      <w:r w:rsidRPr="00B1662E">
        <w:rPr>
          <w:rFonts w:ascii="ArialMT" w:hAnsi="ArialMT" w:cs="ArialMT"/>
          <w:color w:val="000000"/>
          <w:szCs w:val="24"/>
        </w:rPr>
        <w:t xml:space="preserve">The </w:t>
      </w:r>
      <w:r>
        <w:rPr>
          <w:rFonts w:ascii="ArialMT" w:hAnsi="ArialMT" w:cs="ArialMT"/>
          <w:color w:val="000000"/>
          <w:szCs w:val="24"/>
        </w:rPr>
        <w:t xml:space="preserve">ongoing turmoil in the Eurozone in particular has produced a highly volatile backdrop to global investment activity; for much of the financial year the central concern of investors was the </w:t>
      </w:r>
      <w:r w:rsidRPr="006C33D5">
        <w:rPr>
          <w:rFonts w:ascii="ArialMT" w:hAnsi="ArialMT" w:cs="ArialMT"/>
          <w:i/>
          <w:color w:val="000000"/>
          <w:szCs w:val="24"/>
        </w:rPr>
        <w:t>return of capital</w:t>
      </w:r>
      <w:r>
        <w:rPr>
          <w:rFonts w:ascii="ArialMT" w:hAnsi="ArialMT" w:cs="ArialMT"/>
          <w:color w:val="000000"/>
          <w:szCs w:val="24"/>
        </w:rPr>
        <w:t xml:space="preserve"> rather than the traditional </w:t>
      </w:r>
      <w:r w:rsidRPr="006C33D5">
        <w:rPr>
          <w:rFonts w:ascii="ArialMT" w:hAnsi="ArialMT" w:cs="ArialMT"/>
          <w:i/>
          <w:color w:val="000000"/>
          <w:szCs w:val="24"/>
        </w:rPr>
        <w:t>return on capital</w:t>
      </w:r>
      <w:r>
        <w:rPr>
          <w:rFonts w:ascii="ArialMT" w:hAnsi="ArialMT" w:cs="ArialMT"/>
          <w:color w:val="000000"/>
          <w:szCs w:val="24"/>
        </w:rPr>
        <w:t xml:space="preserve">. </w:t>
      </w:r>
      <w:r w:rsidRPr="00B1662E">
        <w:rPr>
          <w:rFonts w:ascii="ArialMT" w:hAnsi="ArialMT" w:cs="ArialMT"/>
          <w:color w:val="000000"/>
          <w:szCs w:val="24"/>
        </w:rPr>
        <w:t xml:space="preserve"> Central Banks, in particular the US Federal Reserve</w:t>
      </w:r>
      <w:r>
        <w:rPr>
          <w:rFonts w:ascii="ArialMT" w:hAnsi="ArialMT" w:cs="ArialMT"/>
          <w:color w:val="000000"/>
          <w:szCs w:val="24"/>
        </w:rPr>
        <w:t xml:space="preserve"> (Fed) and the Bank of England (BoE) </w:t>
      </w:r>
      <w:r w:rsidRPr="00B1662E">
        <w:rPr>
          <w:rFonts w:ascii="ArialMT" w:hAnsi="ArialMT" w:cs="ArialMT"/>
          <w:color w:val="000000"/>
          <w:szCs w:val="24"/>
        </w:rPr>
        <w:t xml:space="preserve">, have provided </w:t>
      </w:r>
      <w:r>
        <w:rPr>
          <w:rFonts w:ascii="ArialMT" w:hAnsi="ArialMT" w:cs="ArialMT"/>
          <w:color w:val="000000"/>
          <w:szCs w:val="24"/>
        </w:rPr>
        <w:t>further rounds of li</w:t>
      </w:r>
      <w:r w:rsidRPr="00B1662E">
        <w:rPr>
          <w:rFonts w:ascii="ArialMT" w:hAnsi="ArialMT" w:cs="ArialMT"/>
          <w:color w:val="000000"/>
          <w:szCs w:val="24"/>
        </w:rPr>
        <w:t>quidity to financial markets</w:t>
      </w:r>
      <w:r>
        <w:rPr>
          <w:rFonts w:ascii="ArialMT" w:hAnsi="ArialMT" w:cs="ArialMT"/>
          <w:color w:val="000000"/>
          <w:szCs w:val="24"/>
        </w:rPr>
        <w:t xml:space="preserve"> via quantitative easing. The European Central Bank (ECB) has been forced by markets to produce a number of emergency measures to relieve the extreme pressure in the European banking system and government bond markets. By November 2011 there was a real danger of systemic collapse as interbank liquidity vanished. At this point the ECB unveiled the "Long Term Repo Operation (LTRO)" an unprecedented injection of billions of Euros into the banks for 3 years at 1.00%. </w:t>
      </w:r>
    </w:p>
    <w:p w:rsidR="00730387" w:rsidRDefault="00730387" w:rsidP="00730387">
      <w:pPr>
        <w:autoSpaceDE w:val="0"/>
        <w:autoSpaceDN w:val="0"/>
        <w:adjustRightInd w:val="0"/>
        <w:rPr>
          <w:rFonts w:ascii="ArialMT" w:hAnsi="ArialMT" w:cs="ArialMT"/>
          <w:color w:val="000000"/>
          <w:szCs w:val="24"/>
        </w:rPr>
      </w:pPr>
    </w:p>
    <w:p w:rsidR="00730387" w:rsidRDefault="00730387" w:rsidP="00730387">
      <w:pPr>
        <w:autoSpaceDE w:val="0"/>
        <w:autoSpaceDN w:val="0"/>
        <w:adjustRightInd w:val="0"/>
        <w:rPr>
          <w:rFonts w:ascii="ArialMT" w:hAnsi="ArialMT" w:cs="ArialMT"/>
          <w:color w:val="000000"/>
          <w:szCs w:val="24"/>
        </w:rPr>
      </w:pPr>
      <w:r>
        <w:rPr>
          <w:rFonts w:ascii="ArialMT" w:hAnsi="ArialMT" w:cs="ArialMT"/>
          <w:color w:val="000000"/>
          <w:szCs w:val="24"/>
        </w:rPr>
        <w:t>The systemic issue caused all "risk" markets to underperform during 2011 (FTSE100 fell 6%). The liquidity injection did provide substantial relief in the first quarter of 2012 (FTSE100 rose 2%) but it is clear that the fundamental issues in the Eurozone have not been solved merely pushed out into the future. Whilst the rest of the world provided some growth early in the year it was clear by early 2012 that the US, India and China were seeing growth but at slower rates than expected at this point in the economic cycle.</w:t>
      </w:r>
    </w:p>
    <w:p w:rsidR="00AE3E1D" w:rsidRDefault="00AE3E1D" w:rsidP="00730387">
      <w:pPr>
        <w:autoSpaceDE w:val="0"/>
        <w:autoSpaceDN w:val="0"/>
        <w:adjustRightInd w:val="0"/>
        <w:rPr>
          <w:rFonts w:ascii="ArialMT" w:hAnsi="ArialMT" w:cs="ArialMT"/>
          <w:color w:val="000000"/>
          <w:szCs w:val="24"/>
        </w:rPr>
      </w:pPr>
    </w:p>
    <w:p w:rsidR="00AE3E1D" w:rsidRDefault="00AE3E1D" w:rsidP="00730387">
      <w:pPr>
        <w:autoSpaceDE w:val="0"/>
        <w:autoSpaceDN w:val="0"/>
        <w:adjustRightInd w:val="0"/>
        <w:rPr>
          <w:rFonts w:ascii="ArialMT" w:hAnsi="ArialMT" w:cs="ArialMT"/>
          <w:color w:val="000000"/>
          <w:szCs w:val="24"/>
        </w:rPr>
      </w:pPr>
      <w:r>
        <w:rPr>
          <w:rFonts w:ascii="ArialMT" w:hAnsi="ArialMT" w:cs="ArialMT"/>
          <w:color w:val="000000"/>
          <w:szCs w:val="24"/>
        </w:rPr>
        <w:t xml:space="preserve">The impact on long term investors has been two fold </w:t>
      </w:r>
    </w:p>
    <w:p w:rsidR="00E80588" w:rsidRDefault="00AE3E1D" w:rsidP="00E80588">
      <w:pPr>
        <w:numPr>
          <w:ilvl w:val="0"/>
          <w:numId w:val="32"/>
        </w:numPr>
        <w:autoSpaceDE w:val="0"/>
        <w:autoSpaceDN w:val="0"/>
        <w:adjustRightInd w:val="0"/>
        <w:rPr>
          <w:rFonts w:ascii="ArialMT" w:hAnsi="ArialMT" w:cs="ArialMT"/>
          <w:color w:val="000000"/>
          <w:szCs w:val="24"/>
        </w:rPr>
      </w:pPr>
      <w:r>
        <w:rPr>
          <w:rFonts w:ascii="ArialMT" w:hAnsi="ArialMT" w:cs="ArialMT"/>
          <w:color w:val="000000"/>
          <w:szCs w:val="24"/>
        </w:rPr>
        <w:t xml:space="preserve">Liquidity in most markets has diminished sharply </w:t>
      </w:r>
      <w:r w:rsidR="0054063F">
        <w:rPr>
          <w:rFonts w:ascii="ArialMT" w:hAnsi="ArialMT" w:cs="ArialMT"/>
          <w:color w:val="000000"/>
          <w:szCs w:val="24"/>
        </w:rPr>
        <w:t>widening the discounts available on illiquid asset classes such as infrastructure and secured loans – an advantage the Fund will look to capitalize on by makin</w:t>
      </w:r>
      <w:r w:rsidR="00F97749">
        <w:rPr>
          <w:rFonts w:ascii="ArialMT" w:hAnsi="ArialMT" w:cs="ArialMT"/>
          <w:color w:val="000000"/>
          <w:szCs w:val="24"/>
        </w:rPr>
        <w:t>g further allocations to less</w:t>
      </w:r>
      <w:r w:rsidR="0054063F">
        <w:rPr>
          <w:rFonts w:ascii="ArialMT" w:hAnsi="ArialMT" w:cs="ArialMT"/>
          <w:color w:val="000000"/>
          <w:szCs w:val="24"/>
        </w:rPr>
        <w:t xml:space="preserve"> volatility</w:t>
      </w:r>
      <w:r w:rsidR="00F97749">
        <w:rPr>
          <w:rFonts w:ascii="ArialMT" w:hAnsi="ArialMT" w:cs="ArialMT"/>
          <w:color w:val="000000"/>
          <w:szCs w:val="24"/>
        </w:rPr>
        <w:t xml:space="preserve"> and less liquid</w:t>
      </w:r>
      <w:r w:rsidR="0054063F">
        <w:rPr>
          <w:rFonts w:ascii="ArialMT" w:hAnsi="ArialMT" w:cs="ArialMT"/>
          <w:color w:val="000000"/>
          <w:szCs w:val="24"/>
        </w:rPr>
        <w:t xml:space="preserve"> </w:t>
      </w:r>
      <w:r w:rsidR="00F97749">
        <w:rPr>
          <w:rFonts w:ascii="ArialMT" w:hAnsi="ArialMT" w:cs="ArialMT"/>
          <w:color w:val="000000"/>
          <w:szCs w:val="24"/>
        </w:rPr>
        <w:t xml:space="preserve">asset classes </w:t>
      </w:r>
    </w:p>
    <w:p w:rsidR="00E80588" w:rsidRDefault="0054063F" w:rsidP="00E80588">
      <w:pPr>
        <w:numPr>
          <w:ilvl w:val="0"/>
          <w:numId w:val="32"/>
        </w:numPr>
        <w:autoSpaceDE w:val="0"/>
        <w:autoSpaceDN w:val="0"/>
        <w:adjustRightInd w:val="0"/>
        <w:rPr>
          <w:rFonts w:ascii="ArialMT" w:hAnsi="ArialMT" w:cs="ArialMT"/>
          <w:color w:val="000000"/>
          <w:szCs w:val="24"/>
        </w:rPr>
      </w:pPr>
      <w:r>
        <w:rPr>
          <w:rFonts w:ascii="ArialMT" w:hAnsi="ArialMT" w:cs="ArialMT"/>
          <w:color w:val="000000"/>
          <w:szCs w:val="24"/>
        </w:rPr>
        <w:t xml:space="preserve">Price volatility has increased on Equities and similar investments raising risk profiles – confirming the need for the Fund to continue its diversification and risk management strategies </w:t>
      </w:r>
    </w:p>
    <w:p w:rsidR="00730387" w:rsidRDefault="00730387" w:rsidP="00730387">
      <w:pPr>
        <w:autoSpaceDE w:val="0"/>
        <w:autoSpaceDN w:val="0"/>
        <w:adjustRightInd w:val="0"/>
        <w:rPr>
          <w:rFonts w:ascii="ArialMT" w:hAnsi="ArialMT" w:cs="ArialMT"/>
          <w:color w:val="000000"/>
          <w:szCs w:val="24"/>
        </w:rPr>
      </w:pPr>
    </w:p>
    <w:p w:rsidR="00730387" w:rsidRPr="00B1662E" w:rsidRDefault="00730387" w:rsidP="00730387">
      <w:pPr>
        <w:autoSpaceDE w:val="0"/>
        <w:autoSpaceDN w:val="0"/>
        <w:adjustRightInd w:val="0"/>
        <w:rPr>
          <w:rFonts w:ascii="ArialMT" w:hAnsi="ArialMT" w:cs="ArialMT"/>
          <w:color w:val="000000"/>
          <w:szCs w:val="24"/>
        </w:rPr>
      </w:pPr>
      <w:r w:rsidRPr="00B1662E">
        <w:rPr>
          <w:rFonts w:ascii="ArialMT" w:hAnsi="ArialMT" w:cs="ArialMT"/>
          <w:color w:val="000000"/>
          <w:szCs w:val="24"/>
        </w:rPr>
        <w:t xml:space="preserve">The FTSE All World index </w:t>
      </w:r>
      <w:r>
        <w:rPr>
          <w:rFonts w:ascii="ArialMT" w:hAnsi="ArialMT" w:cs="ArialMT"/>
          <w:color w:val="000000"/>
          <w:szCs w:val="24"/>
        </w:rPr>
        <w:t>fell 3.81% and</w:t>
      </w:r>
      <w:r w:rsidRPr="00B1662E">
        <w:rPr>
          <w:rFonts w:ascii="ArialMT" w:hAnsi="ArialMT" w:cs="ArialMT"/>
          <w:color w:val="000000"/>
          <w:szCs w:val="24"/>
        </w:rPr>
        <w:t xml:space="preserve"> the FTSE All share </w:t>
      </w:r>
      <w:r>
        <w:rPr>
          <w:rFonts w:ascii="ArialMT" w:hAnsi="ArialMT" w:cs="ArialMT"/>
          <w:color w:val="000000"/>
          <w:szCs w:val="24"/>
        </w:rPr>
        <w:t>fell 3.659% during the financial year, having been lower at the end of 2011</w:t>
      </w:r>
      <w:r w:rsidRPr="00B1662E">
        <w:rPr>
          <w:rFonts w:ascii="ArialMT" w:hAnsi="ArialMT" w:cs="ArialMT"/>
          <w:color w:val="000000"/>
          <w:szCs w:val="24"/>
        </w:rPr>
        <w:t xml:space="preserve">. Credit markets continued </w:t>
      </w:r>
      <w:r>
        <w:rPr>
          <w:rFonts w:ascii="ArialMT" w:hAnsi="ArialMT" w:cs="ArialMT"/>
          <w:color w:val="000000"/>
          <w:szCs w:val="24"/>
        </w:rPr>
        <w:t>to perform positively,</w:t>
      </w:r>
      <w:r w:rsidRPr="00B1662E">
        <w:rPr>
          <w:rFonts w:ascii="ArialMT" w:hAnsi="ArialMT" w:cs="ArialMT"/>
          <w:color w:val="000000"/>
          <w:szCs w:val="24"/>
        </w:rPr>
        <w:t xml:space="preserve"> the IBOX non Gilt Sterling index</w:t>
      </w:r>
      <w:r w:rsidR="0054063F">
        <w:rPr>
          <w:rFonts w:ascii="ArialMT" w:hAnsi="ArialMT" w:cs="ArialMT"/>
          <w:color w:val="000000"/>
          <w:szCs w:val="24"/>
        </w:rPr>
        <w:t xml:space="preserve"> (a published index based on a broad range of high quality corporate bonds of varying maturity) </w:t>
      </w:r>
      <w:r w:rsidR="00206086">
        <w:rPr>
          <w:rFonts w:ascii="ArialMT" w:hAnsi="ArialMT" w:cs="ArialMT"/>
          <w:color w:val="000000"/>
          <w:szCs w:val="24"/>
        </w:rPr>
        <w:t>rose</w:t>
      </w:r>
      <w:r w:rsidR="00206086" w:rsidRPr="00B1662E">
        <w:rPr>
          <w:rFonts w:ascii="ArialMT" w:hAnsi="ArialMT" w:cs="ArialMT"/>
          <w:color w:val="000000"/>
          <w:szCs w:val="24"/>
        </w:rPr>
        <w:t xml:space="preserve"> </w:t>
      </w:r>
      <w:r>
        <w:rPr>
          <w:rFonts w:ascii="ArialMT" w:hAnsi="ArialMT" w:cs="ArialMT"/>
          <w:color w:val="000000"/>
          <w:szCs w:val="24"/>
        </w:rPr>
        <w:t>8.96</w:t>
      </w:r>
      <w:r w:rsidRPr="00B1662E">
        <w:rPr>
          <w:rFonts w:ascii="ArialMT" w:hAnsi="ArialMT" w:cs="ArialMT"/>
          <w:color w:val="000000"/>
          <w:szCs w:val="24"/>
        </w:rPr>
        <w:t xml:space="preserve">%.   </w:t>
      </w:r>
    </w:p>
    <w:p w:rsidR="00730387" w:rsidRPr="00B1662E" w:rsidRDefault="00730387" w:rsidP="00730387">
      <w:pPr>
        <w:autoSpaceDE w:val="0"/>
        <w:autoSpaceDN w:val="0"/>
        <w:adjustRightInd w:val="0"/>
        <w:rPr>
          <w:rFonts w:ascii="ArialMT" w:hAnsi="ArialMT" w:cs="ArialMT"/>
          <w:color w:val="000000"/>
          <w:szCs w:val="24"/>
        </w:rPr>
      </w:pPr>
    </w:p>
    <w:p w:rsidR="00730387" w:rsidRPr="00B1662E" w:rsidRDefault="00730387" w:rsidP="00730387">
      <w:pPr>
        <w:autoSpaceDE w:val="0"/>
        <w:autoSpaceDN w:val="0"/>
        <w:adjustRightInd w:val="0"/>
        <w:rPr>
          <w:rFonts w:ascii="ArialMT" w:hAnsi="ArialMT" w:cs="ArialMT"/>
          <w:color w:val="000000"/>
          <w:szCs w:val="24"/>
        </w:rPr>
      </w:pPr>
      <w:r w:rsidRPr="00B1662E">
        <w:rPr>
          <w:rFonts w:ascii="ArialMT" w:hAnsi="ArialMT" w:cs="ArialMT"/>
          <w:color w:val="000000"/>
          <w:szCs w:val="24"/>
        </w:rPr>
        <w:t>Government bond markets</w:t>
      </w:r>
      <w:r>
        <w:rPr>
          <w:rFonts w:ascii="ArialMT" w:hAnsi="ArialMT" w:cs="ArialMT"/>
          <w:color w:val="000000"/>
          <w:szCs w:val="24"/>
        </w:rPr>
        <w:t xml:space="preserve"> in the US, UK and core Europe</w:t>
      </w:r>
      <w:r w:rsidRPr="00B1662E">
        <w:rPr>
          <w:rFonts w:ascii="ArialMT" w:hAnsi="ArialMT" w:cs="ArialMT"/>
          <w:color w:val="000000"/>
          <w:szCs w:val="24"/>
        </w:rPr>
        <w:t xml:space="preserve"> performed </w:t>
      </w:r>
      <w:r>
        <w:rPr>
          <w:rFonts w:ascii="ArialMT" w:hAnsi="ArialMT" w:cs="ArialMT"/>
          <w:color w:val="000000"/>
          <w:szCs w:val="24"/>
        </w:rPr>
        <w:t xml:space="preserve">very </w:t>
      </w:r>
      <w:r w:rsidRPr="00B1662E">
        <w:rPr>
          <w:rFonts w:ascii="ArialMT" w:hAnsi="ArialMT" w:cs="ArialMT"/>
          <w:color w:val="000000"/>
          <w:szCs w:val="24"/>
        </w:rPr>
        <w:t xml:space="preserve">well over the 12 month period, the IBOX </w:t>
      </w:r>
      <w:r>
        <w:rPr>
          <w:rFonts w:ascii="ArialMT" w:hAnsi="ArialMT" w:cs="ArialMT"/>
          <w:color w:val="000000"/>
          <w:szCs w:val="24"/>
        </w:rPr>
        <w:t>5yr+ Gilt</w:t>
      </w:r>
      <w:r w:rsidRPr="00B1662E">
        <w:rPr>
          <w:rFonts w:ascii="ArialMT" w:hAnsi="ArialMT" w:cs="ArialMT"/>
          <w:color w:val="000000"/>
          <w:szCs w:val="24"/>
        </w:rPr>
        <w:t xml:space="preserve"> index rose </w:t>
      </w:r>
      <w:r>
        <w:rPr>
          <w:rFonts w:ascii="ArialMT" w:hAnsi="ArialMT" w:cs="ArialMT"/>
          <w:color w:val="000000"/>
          <w:szCs w:val="24"/>
        </w:rPr>
        <w:t>19.25</w:t>
      </w:r>
      <w:r w:rsidRPr="00B1662E">
        <w:rPr>
          <w:rFonts w:ascii="ArialMT" w:hAnsi="ArialMT" w:cs="ArialMT"/>
          <w:color w:val="000000"/>
          <w:szCs w:val="24"/>
        </w:rPr>
        <w:t>%. Markets had expected that some monetary stimulus would be withdrawn during the year, leading to higher interest rates and red</w:t>
      </w:r>
      <w:r>
        <w:rPr>
          <w:rFonts w:ascii="ArialMT" w:hAnsi="ArialMT" w:cs="ArialMT"/>
          <w:color w:val="000000"/>
          <w:szCs w:val="24"/>
        </w:rPr>
        <w:t>uced bond market performance but the continued concerns over fiscal deficits and default in peripheral Europe has kept safe haven bond markets very strong.</w:t>
      </w:r>
    </w:p>
    <w:p w:rsidR="00730387" w:rsidRPr="00B1662E" w:rsidRDefault="00730387" w:rsidP="00730387">
      <w:pPr>
        <w:autoSpaceDE w:val="0"/>
        <w:autoSpaceDN w:val="0"/>
        <w:adjustRightInd w:val="0"/>
        <w:rPr>
          <w:rFonts w:ascii="ArialMT" w:hAnsi="ArialMT" w:cs="ArialMT"/>
          <w:color w:val="000000"/>
          <w:szCs w:val="24"/>
        </w:rPr>
      </w:pPr>
    </w:p>
    <w:p w:rsidR="00730387" w:rsidRDefault="00730387" w:rsidP="00730387">
      <w:pPr>
        <w:autoSpaceDE w:val="0"/>
        <w:autoSpaceDN w:val="0"/>
        <w:adjustRightInd w:val="0"/>
        <w:rPr>
          <w:rFonts w:ascii="ArialMT" w:hAnsi="ArialMT" w:cs="ArialMT"/>
          <w:szCs w:val="24"/>
        </w:rPr>
      </w:pPr>
      <w:r w:rsidRPr="00B1662E">
        <w:rPr>
          <w:rFonts w:ascii="ArialMT" w:hAnsi="ArialMT" w:cs="ArialMT"/>
          <w:szCs w:val="24"/>
        </w:rPr>
        <w:t>20</w:t>
      </w:r>
      <w:r>
        <w:rPr>
          <w:rFonts w:ascii="ArialMT" w:hAnsi="ArialMT" w:cs="ArialMT"/>
          <w:szCs w:val="24"/>
        </w:rPr>
        <w:t xml:space="preserve">11/12 </w:t>
      </w:r>
      <w:r w:rsidRPr="00B1662E">
        <w:rPr>
          <w:rFonts w:ascii="ArialMT" w:hAnsi="ArialMT" w:cs="ArialMT"/>
          <w:szCs w:val="24"/>
        </w:rPr>
        <w:t>was a period of</w:t>
      </w:r>
      <w:r>
        <w:rPr>
          <w:rFonts w:ascii="ArialMT" w:hAnsi="ArialMT" w:cs="ArialMT"/>
          <w:szCs w:val="24"/>
        </w:rPr>
        <w:t xml:space="preserve"> complex re-allocation for the Fund.</w:t>
      </w:r>
      <w:r w:rsidRPr="00B1662E">
        <w:rPr>
          <w:rFonts w:ascii="ArialMT" w:hAnsi="ArialMT" w:cs="ArialMT"/>
          <w:szCs w:val="24"/>
        </w:rPr>
        <w:t xml:space="preserve"> </w:t>
      </w:r>
      <w:r>
        <w:rPr>
          <w:rFonts w:ascii="ArialMT" w:hAnsi="ArialMT" w:cs="ArialMT"/>
          <w:szCs w:val="24"/>
        </w:rPr>
        <w:t xml:space="preserve">First steps into lower volatility investments were implemented late in the year as well as a major structural change to the Fund's equity investments, moving from predominantly domestic to global investing with an active risk management approach. Whilst these changes were made too late in the year to </w:t>
      </w:r>
      <w:r>
        <w:rPr>
          <w:rFonts w:ascii="ArialMT" w:hAnsi="ArialMT" w:cs="ArialMT"/>
          <w:szCs w:val="24"/>
        </w:rPr>
        <w:lastRenderedPageBreak/>
        <w:t>affect performance they represent a major shift in the Fund's investment management ethos.</w:t>
      </w:r>
    </w:p>
    <w:p w:rsidR="00730387" w:rsidRPr="00B1662E" w:rsidRDefault="00730387" w:rsidP="00730387">
      <w:pPr>
        <w:autoSpaceDE w:val="0"/>
        <w:autoSpaceDN w:val="0"/>
        <w:adjustRightInd w:val="0"/>
        <w:rPr>
          <w:rFonts w:ascii="ArialMT" w:hAnsi="ArialMT" w:cs="ArialMT"/>
          <w:color w:val="000000"/>
          <w:szCs w:val="24"/>
        </w:rPr>
      </w:pPr>
    </w:p>
    <w:p w:rsidR="00730387" w:rsidRDefault="00730387" w:rsidP="00730387">
      <w:pPr>
        <w:autoSpaceDE w:val="0"/>
        <w:autoSpaceDN w:val="0"/>
        <w:adjustRightInd w:val="0"/>
        <w:rPr>
          <w:rFonts w:ascii="ArialMT" w:hAnsi="ArialMT" w:cs="ArialMT"/>
          <w:color w:val="000000"/>
          <w:szCs w:val="24"/>
        </w:rPr>
      </w:pPr>
      <w:r w:rsidRPr="00B1662E">
        <w:rPr>
          <w:rFonts w:ascii="ArialMT" w:hAnsi="ArialMT" w:cs="ArialMT"/>
          <w:szCs w:val="24"/>
        </w:rPr>
        <w:t xml:space="preserve">The overall return </w:t>
      </w:r>
      <w:r>
        <w:rPr>
          <w:rFonts w:ascii="ArialMT" w:hAnsi="ArialMT" w:cs="ArialMT"/>
          <w:szCs w:val="24"/>
        </w:rPr>
        <w:t>achieved by the Fund during 20</w:t>
      </w:r>
      <w:r w:rsidRPr="00B1662E">
        <w:rPr>
          <w:rFonts w:ascii="ArialMT" w:hAnsi="ArialMT" w:cs="ArialMT"/>
          <w:szCs w:val="24"/>
        </w:rPr>
        <w:t>11</w:t>
      </w:r>
      <w:r>
        <w:rPr>
          <w:rFonts w:ascii="ArialMT" w:hAnsi="ArialMT" w:cs="ArialMT"/>
          <w:szCs w:val="24"/>
        </w:rPr>
        <w:t>/12</w:t>
      </w:r>
      <w:r w:rsidRPr="00B1662E">
        <w:rPr>
          <w:rFonts w:ascii="ArialMT" w:hAnsi="ArialMT" w:cs="ArialMT"/>
          <w:szCs w:val="24"/>
        </w:rPr>
        <w:t xml:space="preserve"> was </w:t>
      </w:r>
      <w:r>
        <w:rPr>
          <w:rFonts w:ascii="ArialMT" w:hAnsi="ArialMT" w:cs="ArialMT"/>
          <w:szCs w:val="24"/>
        </w:rPr>
        <w:t>2.3</w:t>
      </w:r>
      <w:r w:rsidRPr="00B1662E">
        <w:rPr>
          <w:rFonts w:ascii="ArialMT" w:hAnsi="ArialMT" w:cs="ArialMT"/>
          <w:szCs w:val="24"/>
        </w:rPr>
        <w:t xml:space="preserve">% compared to the benchmark return of </w:t>
      </w:r>
      <w:r>
        <w:rPr>
          <w:rFonts w:ascii="ArialMT" w:hAnsi="ArialMT" w:cs="ArialMT"/>
          <w:szCs w:val="24"/>
        </w:rPr>
        <w:t>3.3</w:t>
      </w:r>
      <w:r w:rsidRPr="00B1662E">
        <w:rPr>
          <w:rFonts w:ascii="ArialMT" w:hAnsi="ArialMT" w:cs="ArialMT"/>
          <w:szCs w:val="24"/>
        </w:rPr>
        <w:t xml:space="preserve">% and the average local authority return of </w:t>
      </w:r>
      <w:r>
        <w:rPr>
          <w:rFonts w:ascii="ArialMT" w:hAnsi="ArialMT" w:cs="ArialMT"/>
          <w:szCs w:val="24"/>
        </w:rPr>
        <w:t>2.6%. This ranked in the 72</w:t>
      </w:r>
      <w:r w:rsidRPr="00B1662E">
        <w:rPr>
          <w:rFonts w:ascii="ArialMT" w:hAnsi="ArialMT" w:cs="ArialMT"/>
          <w:szCs w:val="24"/>
        </w:rPr>
        <w:t>th percentile of the WM Local Authority Universe</w:t>
      </w:r>
      <w:r>
        <w:rPr>
          <w:rFonts w:ascii="ArialMT" w:hAnsi="ArialMT" w:cs="ArialMT"/>
          <w:szCs w:val="24"/>
        </w:rPr>
        <w:t>, the majority of underperformance coming from the active equity mandates which have subsequently been terminated</w:t>
      </w:r>
      <w:r w:rsidR="00F66AF6">
        <w:rPr>
          <w:rFonts w:ascii="ArialMT" w:hAnsi="ArialMT" w:cs="ArialMT"/>
          <w:szCs w:val="24"/>
        </w:rPr>
        <w:t xml:space="preserve"> in line with the investment strategy agreed in January 2011</w:t>
      </w:r>
      <w:r>
        <w:rPr>
          <w:rFonts w:ascii="ArialMT" w:hAnsi="ArialMT" w:cs="ArialMT"/>
          <w:szCs w:val="24"/>
        </w:rPr>
        <w:t>.</w:t>
      </w:r>
      <w:r w:rsidRPr="00B1662E">
        <w:rPr>
          <w:rFonts w:ascii="ArialMT" w:hAnsi="ArialMT" w:cs="ArialMT"/>
          <w:color w:val="4F81BD"/>
          <w:szCs w:val="24"/>
        </w:rPr>
        <w:t xml:space="preserve"> </w:t>
      </w:r>
      <w:r w:rsidRPr="00B1662E">
        <w:rPr>
          <w:rFonts w:ascii="ArialMT" w:hAnsi="ArialMT" w:cs="ArialMT"/>
          <w:color w:val="000000"/>
          <w:szCs w:val="24"/>
        </w:rPr>
        <w:t xml:space="preserve"> </w:t>
      </w:r>
    </w:p>
    <w:p w:rsidR="00730387" w:rsidRDefault="00730387" w:rsidP="00730387">
      <w:pPr>
        <w:autoSpaceDE w:val="0"/>
        <w:autoSpaceDN w:val="0"/>
        <w:adjustRightInd w:val="0"/>
        <w:rPr>
          <w:rFonts w:ascii="ArialMT" w:hAnsi="ArialMT" w:cs="ArialMT"/>
          <w:color w:val="000000"/>
          <w:szCs w:val="24"/>
        </w:rPr>
      </w:pPr>
    </w:p>
    <w:p w:rsidR="00730387" w:rsidRPr="00B1662E" w:rsidRDefault="00730387" w:rsidP="00730387">
      <w:pPr>
        <w:autoSpaceDE w:val="0"/>
        <w:autoSpaceDN w:val="0"/>
        <w:adjustRightInd w:val="0"/>
        <w:rPr>
          <w:rFonts w:ascii="ArialMT" w:hAnsi="ArialMT" w:cs="ArialMT"/>
          <w:color w:val="000000"/>
          <w:szCs w:val="24"/>
        </w:rPr>
      </w:pPr>
      <w:r w:rsidRPr="00B1662E">
        <w:rPr>
          <w:rFonts w:ascii="ArialMT" w:hAnsi="ArialMT" w:cs="ArialMT"/>
          <w:color w:val="000000"/>
          <w:szCs w:val="24"/>
        </w:rPr>
        <w:t>During the year the Fun</w:t>
      </w:r>
      <w:r>
        <w:rPr>
          <w:rFonts w:ascii="ArialMT" w:hAnsi="ArialMT" w:cs="ArialMT"/>
          <w:color w:val="000000"/>
          <w:szCs w:val="24"/>
        </w:rPr>
        <w:t>d</w:t>
      </w:r>
      <w:r w:rsidRPr="00B1662E">
        <w:rPr>
          <w:rFonts w:ascii="ArialMT" w:hAnsi="ArialMT" w:cs="ArialMT"/>
          <w:color w:val="000000"/>
          <w:szCs w:val="24"/>
        </w:rPr>
        <w:t xml:space="preserve"> was cash flow positive, with income from contributions and investments exceeding expenditure on benefits and expenses by £</w:t>
      </w:r>
      <w:r w:rsidR="00A320D0">
        <w:rPr>
          <w:rFonts w:ascii="ArialMT" w:hAnsi="ArialMT" w:cs="ArialMT"/>
          <w:color w:val="000000"/>
          <w:szCs w:val="24"/>
        </w:rPr>
        <w:t>94.3m</w:t>
      </w:r>
      <w:r w:rsidRPr="00B1662E">
        <w:rPr>
          <w:rFonts w:ascii="ArialMT" w:hAnsi="ArialMT" w:cs="ArialMT"/>
          <w:color w:val="000000"/>
          <w:szCs w:val="24"/>
        </w:rPr>
        <w:t>.</w:t>
      </w:r>
    </w:p>
    <w:p w:rsidR="00730387" w:rsidRPr="00B1662E" w:rsidRDefault="00730387" w:rsidP="00730387">
      <w:pPr>
        <w:autoSpaceDE w:val="0"/>
        <w:autoSpaceDN w:val="0"/>
        <w:adjustRightInd w:val="0"/>
        <w:rPr>
          <w:rFonts w:ascii="ArialMT" w:hAnsi="ArialMT" w:cs="ArialMT"/>
          <w:color w:val="000000"/>
          <w:szCs w:val="24"/>
        </w:rPr>
      </w:pPr>
      <w:r w:rsidRPr="00B1662E">
        <w:rPr>
          <w:rFonts w:ascii="ArialMT" w:hAnsi="ArialMT" w:cs="ArialMT"/>
          <w:color w:val="4F81BD"/>
          <w:szCs w:val="24"/>
        </w:rPr>
        <w:t xml:space="preserve"> </w:t>
      </w:r>
    </w:p>
    <w:p w:rsidR="00730387" w:rsidRPr="00B1662E" w:rsidRDefault="00730387" w:rsidP="00730387">
      <w:pPr>
        <w:autoSpaceDE w:val="0"/>
        <w:autoSpaceDN w:val="0"/>
        <w:adjustRightInd w:val="0"/>
        <w:rPr>
          <w:rFonts w:ascii="ArialMT" w:hAnsi="ArialMT" w:cs="ArialMT"/>
          <w:color w:val="000000"/>
          <w:szCs w:val="24"/>
        </w:rPr>
      </w:pPr>
      <w:r w:rsidRPr="00B1662E">
        <w:rPr>
          <w:rFonts w:ascii="ArialMT" w:hAnsi="ArialMT" w:cs="ArialMT"/>
          <w:color w:val="000000"/>
          <w:szCs w:val="24"/>
        </w:rPr>
        <w:t xml:space="preserve">The </w:t>
      </w:r>
      <w:r>
        <w:rPr>
          <w:rFonts w:ascii="ArialMT" w:hAnsi="ArialMT" w:cs="ArialMT"/>
          <w:color w:val="000000"/>
          <w:szCs w:val="24"/>
        </w:rPr>
        <w:t>on going implementation of</w:t>
      </w:r>
      <w:r w:rsidRPr="00B1662E">
        <w:rPr>
          <w:rFonts w:ascii="ArialMT" w:hAnsi="ArialMT" w:cs="ArialMT"/>
          <w:color w:val="000000"/>
          <w:szCs w:val="24"/>
        </w:rPr>
        <w:t xml:space="preserve"> the Fund's investment strategy, the </w:t>
      </w:r>
      <w:r>
        <w:rPr>
          <w:rFonts w:ascii="ArialMT" w:hAnsi="ArialMT" w:cs="ArialMT"/>
          <w:color w:val="000000"/>
          <w:szCs w:val="24"/>
        </w:rPr>
        <w:t>development of</w:t>
      </w:r>
      <w:r w:rsidRPr="00B1662E">
        <w:rPr>
          <w:rFonts w:ascii="ArialMT" w:hAnsi="ArialMT" w:cs="ArialMT"/>
          <w:color w:val="000000"/>
          <w:szCs w:val="24"/>
        </w:rPr>
        <w:t xml:space="preserve"> the Investment Panel together with improvements in governance</w:t>
      </w:r>
      <w:r>
        <w:rPr>
          <w:rFonts w:ascii="ArialMT" w:hAnsi="ArialMT" w:cs="ArialMT"/>
          <w:color w:val="000000"/>
          <w:szCs w:val="24"/>
        </w:rPr>
        <w:t>,</w:t>
      </w:r>
      <w:r w:rsidRPr="00B1662E">
        <w:rPr>
          <w:rFonts w:ascii="ArialMT" w:hAnsi="ArialMT" w:cs="ArialMT"/>
          <w:color w:val="000000"/>
          <w:szCs w:val="24"/>
        </w:rPr>
        <w:t xml:space="preserve"> place the Fund in a better position to deal w</w:t>
      </w:r>
      <w:r>
        <w:rPr>
          <w:rFonts w:ascii="ArialMT" w:hAnsi="ArialMT" w:cs="ArialMT"/>
          <w:color w:val="000000"/>
          <w:szCs w:val="24"/>
        </w:rPr>
        <w:t>ith developments in global risk</w:t>
      </w:r>
      <w:r w:rsidRPr="00B1662E">
        <w:rPr>
          <w:rFonts w:ascii="ArialMT" w:hAnsi="ArialMT" w:cs="ArialMT"/>
          <w:color w:val="000000"/>
          <w:szCs w:val="24"/>
        </w:rPr>
        <w:t>, the international regulatory framework and the future o</w:t>
      </w:r>
      <w:r>
        <w:rPr>
          <w:rFonts w:ascii="ArialMT" w:hAnsi="ArialMT" w:cs="ArialMT"/>
          <w:color w:val="000000"/>
          <w:szCs w:val="24"/>
        </w:rPr>
        <w:t xml:space="preserve">f structure pensions in general. </w:t>
      </w:r>
      <w:r w:rsidRPr="00B1662E">
        <w:rPr>
          <w:rFonts w:ascii="ArialMT" w:hAnsi="ArialMT" w:cs="ArialMT"/>
          <w:color w:val="000000"/>
          <w:szCs w:val="24"/>
        </w:rPr>
        <w:t xml:space="preserve">  </w:t>
      </w:r>
    </w:p>
    <w:p w:rsidR="00730387" w:rsidRPr="00B1662E" w:rsidRDefault="00730387" w:rsidP="00730387">
      <w:pPr>
        <w:autoSpaceDE w:val="0"/>
        <w:autoSpaceDN w:val="0"/>
        <w:adjustRightInd w:val="0"/>
        <w:rPr>
          <w:rFonts w:ascii="ArialMT" w:hAnsi="ArialMT" w:cs="ArialMT"/>
          <w:color w:val="000000"/>
          <w:szCs w:val="24"/>
        </w:rPr>
      </w:pPr>
    </w:p>
    <w:p w:rsidR="00730387" w:rsidRPr="00B1662E" w:rsidRDefault="00730387" w:rsidP="00730387">
      <w:pPr>
        <w:autoSpaceDE w:val="0"/>
        <w:autoSpaceDN w:val="0"/>
        <w:adjustRightInd w:val="0"/>
        <w:rPr>
          <w:rFonts w:ascii="ArialMT" w:hAnsi="ArialMT" w:cs="ArialMT"/>
          <w:color w:val="000000"/>
          <w:szCs w:val="24"/>
        </w:rPr>
      </w:pPr>
      <w:r w:rsidRPr="00B1662E">
        <w:rPr>
          <w:rFonts w:ascii="ArialMT" w:hAnsi="ArialMT" w:cs="ArialMT"/>
          <w:color w:val="000000"/>
          <w:szCs w:val="24"/>
        </w:rPr>
        <w:t>Capital for long term investment is a scarce commodity post credit crunch,</w:t>
      </w:r>
      <w:r>
        <w:rPr>
          <w:rFonts w:ascii="ArialMT" w:hAnsi="ArialMT" w:cs="ArialMT"/>
          <w:color w:val="000000"/>
          <w:szCs w:val="24"/>
        </w:rPr>
        <w:t xml:space="preserve"> and the effects of forthcoming regulation for the banking (Basle 3) and insurance (Solvency 2) sectors </w:t>
      </w:r>
      <w:r w:rsidRPr="00B1662E">
        <w:rPr>
          <w:rFonts w:ascii="ArialMT" w:hAnsi="ArialMT" w:cs="ArialMT"/>
          <w:color w:val="000000"/>
          <w:szCs w:val="24"/>
        </w:rPr>
        <w:t xml:space="preserve"> </w:t>
      </w:r>
      <w:r>
        <w:rPr>
          <w:rFonts w:ascii="ArialMT" w:hAnsi="ArialMT" w:cs="ArialMT"/>
          <w:color w:val="000000"/>
          <w:szCs w:val="24"/>
        </w:rPr>
        <w:t xml:space="preserve">will amplify the shortage, </w:t>
      </w:r>
      <w:r w:rsidRPr="00B1662E">
        <w:rPr>
          <w:rFonts w:ascii="ArialMT" w:hAnsi="ArialMT" w:cs="ArialMT"/>
          <w:color w:val="000000"/>
          <w:szCs w:val="24"/>
        </w:rPr>
        <w:t>placing Local Government Pension Funds in a strong position to positively address the goals of full funding and sustainable co</w:t>
      </w:r>
      <w:r>
        <w:rPr>
          <w:rFonts w:ascii="ArialMT" w:hAnsi="ArialMT" w:cs="ArialMT"/>
          <w:color w:val="000000"/>
          <w:szCs w:val="24"/>
        </w:rPr>
        <w:t>st, provided that investment,</w:t>
      </w:r>
      <w:r w:rsidRPr="00B1662E">
        <w:rPr>
          <w:rFonts w:ascii="ArialMT" w:hAnsi="ArialMT" w:cs="ArialMT"/>
          <w:color w:val="000000"/>
          <w:szCs w:val="24"/>
        </w:rPr>
        <w:t xml:space="preserve"> liability </w:t>
      </w:r>
      <w:r>
        <w:rPr>
          <w:rFonts w:ascii="ArialMT" w:hAnsi="ArialMT" w:cs="ArialMT"/>
          <w:color w:val="000000"/>
          <w:szCs w:val="24"/>
        </w:rPr>
        <w:t xml:space="preserve">and, most importantly, risk  </w:t>
      </w:r>
      <w:r w:rsidRPr="00B1662E">
        <w:rPr>
          <w:rFonts w:ascii="ArialMT" w:hAnsi="ArialMT" w:cs="ArialMT"/>
          <w:color w:val="000000"/>
          <w:szCs w:val="24"/>
        </w:rPr>
        <w:t>management are addressed effectively</w:t>
      </w:r>
      <w:r>
        <w:rPr>
          <w:rFonts w:ascii="ArialMT" w:hAnsi="ArialMT" w:cs="ArialMT"/>
          <w:color w:val="000000"/>
          <w:szCs w:val="24"/>
        </w:rPr>
        <w:t xml:space="preserve"> in what will undoubtedly remain a period of extreme volatility.</w:t>
      </w:r>
      <w:r w:rsidRPr="00B1662E">
        <w:rPr>
          <w:rFonts w:ascii="ArialMT" w:hAnsi="ArialMT" w:cs="ArialMT"/>
          <w:color w:val="000000"/>
          <w:szCs w:val="24"/>
        </w:rPr>
        <w:t xml:space="preserve">. </w:t>
      </w:r>
    </w:p>
    <w:p w:rsidR="00730387" w:rsidRPr="00B1662E" w:rsidRDefault="00730387" w:rsidP="00730387">
      <w:pPr>
        <w:rPr>
          <w:rFonts w:ascii="ArialMT" w:hAnsi="ArialMT" w:cs="ArialMT"/>
          <w:color w:val="000000"/>
          <w:szCs w:val="24"/>
        </w:rPr>
      </w:pPr>
    </w:p>
    <w:p w:rsidR="00730387" w:rsidRPr="00B1662E" w:rsidRDefault="00730387" w:rsidP="00730387">
      <w:pPr>
        <w:autoSpaceDE w:val="0"/>
        <w:autoSpaceDN w:val="0"/>
        <w:adjustRightInd w:val="0"/>
        <w:rPr>
          <w:rFonts w:ascii="ArialMT" w:hAnsi="ArialMT" w:cs="ArialMT"/>
          <w:color w:val="000000"/>
          <w:szCs w:val="24"/>
        </w:rPr>
      </w:pPr>
      <w:r w:rsidRPr="00B1662E">
        <w:rPr>
          <w:rFonts w:ascii="ArialMT" w:hAnsi="ArialMT" w:cs="ArialMT"/>
          <w:color w:val="000000"/>
          <w:szCs w:val="24"/>
        </w:rPr>
        <w:t>Administration of the Fund has again</w:t>
      </w:r>
      <w:r>
        <w:rPr>
          <w:rFonts w:ascii="ArialMT" w:hAnsi="ArialMT" w:cs="ArialMT"/>
          <w:color w:val="000000"/>
          <w:szCs w:val="24"/>
        </w:rPr>
        <w:t xml:space="preserve"> been very strong over the year, the Treasury and Pension investment section winning </w:t>
      </w:r>
      <w:r w:rsidR="00E1773C">
        <w:rPr>
          <w:rFonts w:ascii="ArialMT" w:hAnsi="ArialMT" w:cs="ArialMT"/>
          <w:color w:val="000000"/>
          <w:szCs w:val="24"/>
        </w:rPr>
        <w:t xml:space="preserve">Lancashire County Council's </w:t>
      </w:r>
      <w:r>
        <w:rPr>
          <w:rFonts w:ascii="ArialMT" w:hAnsi="ArialMT" w:cs="ArialMT"/>
          <w:color w:val="000000"/>
          <w:szCs w:val="24"/>
        </w:rPr>
        <w:t>"Team of the Year" award a</w:t>
      </w:r>
      <w:r w:rsidR="00E1773C">
        <w:rPr>
          <w:rFonts w:ascii="ArialMT" w:hAnsi="ArialMT" w:cs="ArialMT"/>
          <w:color w:val="000000"/>
          <w:szCs w:val="24"/>
        </w:rPr>
        <w:t>t</w:t>
      </w:r>
      <w:r>
        <w:rPr>
          <w:rFonts w:ascii="ArialMT" w:hAnsi="ArialMT" w:cs="ArialMT"/>
          <w:color w:val="000000"/>
          <w:szCs w:val="24"/>
        </w:rPr>
        <w:t xml:space="preserve"> the </w:t>
      </w:r>
      <w:r w:rsidR="00E1773C">
        <w:rPr>
          <w:rFonts w:ascii="ArialMT" w:hAnsi="ArialMT" w:cs="ArialMT"/>
          <w:color w:val="000000"/>
          <w:szCs w:val="24"/>
        </w:rPr>
        <w:t xml:space="preserve">2011 </w:t>
      </w:r>
      <w:r>
        <w:rPr>
          <w:rFonts w:ascii="ArialMT" w:hAnsi="ArialMT" w:cs="ArialMT"/>
          <w:color w:val="000000"/>
          <w:szCs w:val="24"/>
        </w:rPr>
        <w:t>Lancashire Pride awards</w:t>
      </w:r>
      <w:r w:rsidR="00E1773C">
        <w:rPr>
          <w:rFonts w:ascii="ArialMT" w:hAnsi="ArialMT" w:cs="ArialMT"/>
          <w:color w:val="000000"/>
          <w:szCs w:val="24"/>
        </w:rPr>
        <w:t>, following from the Your Pension Services' success in 2010</w:t>
      </w:r>
      <w:r w:rsidRPr="00B1662E">
        <w:rPr>
          <w:rFonts w:ascii="ArialMT" w:hAnsi="ArialMT" w:cs="ArialMT"/>
          <w:color w:val="000000"/>
          <w:szCs w:val="24"/>
        </w:rPr>
        <w:t xml:space="preserve">. </w:t>
      </w:r>
    </w:p>
    <w:p w:rsidR="00730387" w:rsidRPr="00B1662E" w:rsidRDefault="00730387" w:rsidP="00730387">
      <w:pPr>
        <w:rPr>
          <w:rFonts w:ascii="ArialMT" w:hAnsi="ArialMT" w:cs="ArialMT"/>
          <w:color w:val="000000"/>
          <w:szCs w:val="24"/>
        </w:rPr>
      </w:pPr>
    </w:p>
    <w:p w:rsidR="00730387" w:rsidRPr="00B1662E" w:rsidRDefault="00730387" w:rsidP="00730387">
      <w:pPr>
        <w:rPr>
          <w:rFonts w:ascii="ArialMT" w:hAnsi="ArialMT" w:cs="ArialMT"/>
          <w:color w:val="000000"/>
          <w:szCs w:val="24"/>
        </w:rPr>
      </w:pPr>
    </w:p>
    <w:p w:rsidR="00730387" w:rsidRPr="00B1662E" w:rsidRDefault="00730387" w:rsidP="00730387">
      <w:pPr>
        <w:rPr>
          <w:rFonts w:ascii="ArialMT" w:hAnsi="ArialMT" w:cs="ArialMT"/>
          <w:color w:val="000000"/>
          <w:szCs w:val="24"/>
        </w:rPr>
      </w:pPr>
    </w:p>
    <w:p w:rsidR="00730387" w:rsidRPr="00B1662E" w:rsidRDefault="00730387" w:rsidP="00730387">
      <w:pPr>
        <w:rPr>
          <w:rFonts w:ascii="ArialMT" w:hAnsi="ArialMT" w:cs="ArialMT"/>
          <w:color w:val="000000"/>
          <w:szCs w:val="24"/>
        </w:rPr>
      </w:pPr>
    </w:p>
    <w:p w:rsidR="00730387" w:rsidRPr="00B1662E" w:rsidRDefault="00730387" w:rsidP="00730387">
      <w:pPr>
        <w:rPr>
          <w:rFonts w:ascii="ArialMT" w:hAnsi="ArialMT" w:cs="ArialMT"/>
          <w:color w:val="000000"/>
          <w:szCs w:val="24"/>
        </w:rPr>
      </w:pPr>
    </w:p>
    <w:p w:rsidR="00730387" w:rsidRPr="00B1662E" w:rsidRDefault="00730387" w:rsidP="00730387">
      <w:pPr>
        <w:rPr>
          <w:rFonts w:ascii="ArialMT" w:hAnsi="ArialMT" w:cs="ArialMT"/>
          <w:color w:val="000000"/>
          <w:szCs w:val="24"/>
        </w:rPr>
      </w:pPr>
    </w:p>
    <w:tbl>
      <w:tblPr>
        <w:tblW w:w="0" w:type="auto"/>
        <w:tblLook w:val="04A0"/>
      </w:tblPr>
      <w:tblGrid>
        <w:gridCol w:w="4928"/>
        <w:gridCol w:w="4925"/>
      </w:tblGrid>
      <w:tr w:rsidR="00730387" w:rsidRPr="00B1662E" w:rsidTr="00F533C3">
        <w:tc>
          <w:tcPr>
            <w:tcW w:w="4928" w:type="dxa"/>
          </w:tcPr>
          <w:p w:rsidR="00730387" w:rsidRPr="00B1662E" w:rsidRDefault="00730387" w:rsidP="00F533C3">
            <w:pPr>
              <w:autoSpaceDE w:val="0"/>
              <w:autoSpaceDN w:val="0"/>
              <w:adjustRightInd w:val="0"/>
              <w:rPr>
                <w:rFonts w:ascii="ArialMT" w:hAnsi="ArialMT" w:cs="ArialMT"/>
                <w:color w:val="000000"/>
                <w:szCs w:val="24"/>
              </w:rPr>
            </w:pPr>
            <w:r w:rsidRPr="00B1662E">
              <w:rPr>
                <w:rFonts w:ascii="ArialMT" w:hAnsi="ArialMT" w:cs="ArialMT"/>
                <w:color w:val="000000"/>
                <w:szCs w:val="24"/>
              </w:rPr>
              <w:t xml:space="preserve">D Westley </w:t>
            </w:r>
            <w:r w:rsidRPr="00B1662E">
              <w:rPr>
                <w:rFonts w:ascii="ArialMT" w:hAnsi="ArialMT" w:cs="ArialMT"/>
                <w:color w:val="000000"/>
                <w:szCs w:val="24"/>
              </w:rPr>
              <w:tab/>
            </w:r>
            <w:r w:rsidRPr="00B1662E">
              <w:rPr>
                <w:rFonts w:ascii="ArialMT" w:hAnsi="ArialMT" w:cs="ArialMT"/>
                <w:color w:val="000000"/>
                <w:szCs w:val="24"/>
              </w:rPr>
              <w:tab/>
            </w:r>
          </w:p>
        </w:tc>
        <w:tc>
          <w:tcPr>
            <w:tcW w:w="4925" w:type="dxa"/>
          </w:tcPr>
          <w:p w:rsidR="00730387" w:rsidRPr="00B1662E" w:rsidRDefault="00730387" w:rsidP="00F533C3">
            <w:pPr>
              <w:autoSpaceDE w:val="0"/>
              <w:autoSpaceDN w:val="0"/>
              <w:adjustRightInd w:val="0"/>
              <w:rPr>
                <w:rFonts w:ascii="ArialMT" w:hAnsi="ArialMT" w:cs="ArialMT"/>
                <w:color w:val="000000"/>
                <w:szCs w:val="24"/>
              </w:rPr>
            </w:pPr>
            <w:r w:rsidRPr="00B1662E">
              <w:rPr>
                <w:rFonts w:ascii="ArialMT" w:hAnsi="ArialMT" w:cs="ArialMT"/>
                <w:color w:val="000000"/>
                <w:szCs w:val="24"/>
              </w:rPr>
              <w:t>G Kilpatrick CPFA</w:t>
            </w:r>
          </w:p>
        </w:tc>
      </w:tr>
      <w:tr w:rsidR="00730387" w:rsidRPr="007C157F" w:rsidTr="00F533C3">
        <w:tc>
          <w:tcPr>
            <w:tcW w:w="4928" w:type="dxa"/>
          </w:tcPr>
          <w:p w:rsidR="00730387" w:rsidRPr="00B1662E" w:rsidRDefault="00730387" w:rsidP="00F533C3">
            <w:pPr>
              <w:autoSpaceDE w:val="0"/>
              <w:autoSpaceDN w:val="0"/>
              <w:adjustRightInd w:val="0"/>
              <w:rPr>
                <w:rFonts w:ascii="ArialMT" w:hAnsi="ArialMT" w:cs="ArialMT"/>
                <w:color w:val="000000"/>
                <w:szCs w:val="24"/>
              </w:rPr>
            </w:pPr>
            <w:r w:rsidRPr="00B1662E">
              <w:rPr>
                <w:rFonts w:ascii="ArialMT" w:hAnsi="ArialMT" w:cs="ArialMT"/>
                <w:color w:val="000000"/>
                <w:szCs w:val="24"/>
              </w:rPr>
              <w:t>Chairman of the Pension Fund Committee</w:t>
            </w:r>
          </w:p>
          <w:p w:rsidR="00730387" w:rsidRPr="00B1662E" w:rsidRDefault="00730387" w:rsidP="00F533C3">
            <w:pPr>
              <w:autoSpaceDE w:val="0"/>
              <w:autoSpaceDN w:val="0"/>
              <w:adjustRightInd w:val="0"/>
              <w:rPr>
                <w:rFonts w:ascii="ArialMT" w:hAnsi="ArialMT" w:cs="ArialMT"/>
                <w:color w:val="000000"/>
                <w:szCs w:val="24"/>
              </w:rPr>
            </w:pPr>
          </w:p>
        </w:tc>
        <w:tc>
          <w:tcPr>
            <w:tcW w:w="4925" w:type="dxa"/>
          </w:tcPr>
          <w:p w:rsidR="00730387" w:rsidRPr="008C548A" w:rsidRDefault="00730387" w:rsidP="00F533C3">
            <w:pPr>
              <w:autoSpaceDE w:val="0"/>
              <w:autoSpaceDN w:val="0"/>
              <w:adjustRightInd w:val="0"/>
              <w:rPr>
                <w:rFonts w:ascii="ArialMT" w:hAnsi="ArialMT" w:cs="ArialMT"/>
                <w:color w:val="000000"/>
                <w:szCs w:val="24"/>
              </w:rPr>
            </w:pPr>
            <w:r w:rsidRPr="00B1662E">
              <w:rPr>
                <w:rFonts w:ascii="ArialMT" w:hAnsi="ArialMT" w:cs="ArialMT"/>
                <w:color w:val="000000"/>
                <w:szCs w:val="24"/>
              </w:rPr>
              <w:t>County Treasurer and Treasurer to the Lancashire County Pension Fund</w:t>
            </w:r>
          </w:p>
        </w:tc>
      </w:tr>
    </w:tbl>
    <w:p w:rsidR="00642CDA" w:rsidRPr="00D14D29" w:rsidRDefault="00642CDA" w:rsidP="00642CDA">
      <w:pPr>
        <w:rPr>
          <w:rFonts w:ascii="ArialMT" w:hAnsi="ArialMT" w:cs="ArialMT"/>
          <w:color w:val="000000"/>
          <w:szCs w:val="24"/>
          <w:highlight w:val="yellow"/>
        </w:rPr>
      </w:pPr>
    </w:p>
    <w:p w:rsidR="00583F69" w:rsidRPr="00D14D29" w:rsidRDefault="00583F69" w:rsidP="00642CDA">
      <w:pPr>
        <w:rPr>
          <w:rFonts w:ascii="ArialMT" w:hAnsi="ArialMT" w:cs="ArialMT"/>
          <w:color w:val="000000"/>
          <w:szCs w:val="24"/>
          <w:highlight w:val="yellow"/>
        </w:rPr>
      </w:pPr>
    </w:p>
    <w:p w:rsidR="00880512" w:rsidRPr="00D14D29" w:rsidRDefault="00880512" w:rsidP="00642CDA">
      <w:pPr>
        <w:rPr>
          <w:rFonts w:ascii="ArialMT" w:hAnsi="ArialMT" w:cs="ArialMT"/>
          <w:color w:val="000000"/>
          <w:szCs w:val="24"/>
          <w:highlight w:val="yellow"/>
        </w:rPr>
      </w:pPr>
    </w:p>
    <w:p w:rsidR="00880512" w:rsidRPr="00D14D29" w:rsidRDefault="00880512" w:rsidP="00642CDA">
      <w:pPr>
        <w:rPr>
          <w:rFonts w:ascii="ArialMT" w:hAnsi="ArialMT" w:cs="ArialMT"/>
          <w:color w:val="000000"/>
          <w:szCs w:val="24"/>
          <w:highlight w:val="yellow"/>
        </w:rPr>
      </w:pPr>
    </w:p>
    <w:tbl>
      <w:tblPr>
        <w:tblW w:w="0" w:type="auto"/>
        <w:tblLook w:val="04A0"/>
      </w:tblPr>
      <w:tblGrid>
        <w:gridCol w:w="4928"/>
        <w:gridCol w:w="4925"/>
      </w:tblGrid>
      <w:tr w:rsidR="00993012" w:rsidRPr="00D14D29" w:rsidTr="007C157F">
        <w:tc>
          <w:tcPr>
            <w:tcW w:w="4928" w:type="dxa"/>
          </w:tcPr>
          <w:p w:rsidR="00993012" w:rsidRPr="00D14D29" w:rsidRDefault="00993012" w:rsidP="00583F69">
            <w:pPr>
              <w:autoSpaceDE w:val="0"/>
              <w:autoSpaceDN w:val="0"/>
              <w:adjustRightInd w:val="0"/>
              <w:rPr>
                <w:rFonts w:ascii="ArialMT" w:hAnsi="ArialMT" w:cs="ArialMT"/>
                <w:color w:val="000000"/>
                <w:szCs w:val="24"/>
                <w:highlight w:val="yellow"/>
              </w:rPr>
            </w:pPr>
          </w:p>
        </w:tc>
        <w:tc>
          <w:tcPr>
            <w:tcW w:w="4925" w:type="dxa"/>
          </w:tcPr>
          <w:p w:rsidR="00993012" w:rsidRPr="00D14D29" w:rsidRDefault="00993012" w:rsidP="008C548A">
            <w:pPr>
              <w:autoSpaceDE w:val="0"/>
              <w:autoSpaceDN w:val="0"/>
              <w:adjustRightInd w:val="0"/>
              <w:rPr>
                <w:rFonts w:ascii="ArialMT" w:hAnsi="ArialMT" w:cs="ArialMT"/>
                <w:color w:val="000000"/>
                <w:szCs w:val="24"/>
                <w:highlight w:val="yellow"/>
              </w:rPr>
            </w:pPr>
          </w:p>
        </w:tc>
      </w:tr>
      <w:tr w:rsidR="00993012" w:rsidRPr="007C157F" w:rsidTr="007C157F">
        <w:tc>
          <w:tcPr>
            <w:tcW w:w="4928" w:type="dxa"/>
          </w:tcPr>
          <w:p w:rsidR="00993012" w:rsidRPr="00D14D29" w:rsidRDefault="00993012" w:rsidP="007C157F">
            <w:pPr>
              <w:autoSpaceDE w:val="0"/>
              <w:autoSpaceDN w:val="0"/>
              <w:adjustRightInd w:val="0"/>
              <w:rPr>
                <w:rFonts w:ascii="ArialMT" w:hAnsi="ArialMT" w:cs="ArialMT"/>
                <w:color w:val="000000"/>
                <w:szCs w:val="24"/>
                <w:highlight w:val="yellow"/>
              </w:rPr>
            </w:pPr>
          </w:p>
        </w:tc>
        <w:tc>
          <w:tcPr>
            <w:tcW w:w="4925" w:type="dxa"/>
          </w:tcPr>
          <w:p w:rsidR="00993012" w:rsidRPr="008C548A" w:rsidRDefault="00993012" w:rsidP="007C157F">
            <w:pPr>
              <w:autoSpaceDE w:val="0"/>
              <w:autoSpaceDN w:val="0"/>
              <w:adjustRightInd w:val="0"/>
              <w:rPr>
                <w:rFonts w:ascii="ArialMT" w:hAnsi="ArialMT" w:cs="ArialMT"/>
                <w:color w:val="000000"/>
                <w:szCs w:val="24"/>
              </w:rPr>
            </w:pPr>
          </w:p>
        </w:tc>
      </w:tr>
    </w:tbl>
    <w:p w:rsidR="001C0D1F" w:rsidRPr="0034723C" w:rsidRDefault="003B412F" w:rsidP="00011588">
      <w:pPr>
        <w:pStyle w:val="Heading1"/>
        <w:numPr>
          <w:ilvl w:val="0"/>
          <w:numId w:val="10"/>
        </w:numPr>
        <w:spacing w:before="0" w:after="0"/>
        <w:rPr>
          <w:snapToGrid w:val="0"/>
          <w:color w:val="000000"/>
          <w:kern w:val="0"/>
          <w:lang w:eastAsia="en-US"/>
        </w:rPr>
      </w:pPr>
      <w:r>
        <w:rPr>
          <w:snapToGrid w:val="0"/>
          <w:color w:val="000000"/>
          <w:kern w:val="0"/>
          <w:lang w:eastAsia="en-US"/>
        </w:rPr>
        <w:br w:type="page"/>
      </w:r>
      <w:r w:rsidR="009C57E7" w:rsidRPr="0034723C">
        <w:rPr>
          <w:snapToGrid w:val="0"/>
          <w:color w:val="000000"/>
          <w:kern w:val="0"/>
          <w:lang w:eastAsia="en-US"/>
        </w:rPr>
        <w:lastRenderedPageBreak/>
        <w:t>G</w:t>
      </w:r>
      <w:r w:rsidR="00BA1C2E" w:rsidRPr="0034723C">
        <w:rPr>
          <w:snapToGrid w:val="0"/>
          <w:color w:val="000000"/>
          <w:kern w:val="0"/>
          <w:lang w:eastAsia="en-US"/>
        </w:rPr>
        <w:t>overnance of the Fund</w:t>
      </w:r>
    </w:p>
    <w:p w:rsidR="00BA1C2E" w:rsidRPr="0034723C" w:rsidRDefault="00BA1C2E" w:rsidP="00BA1C2E">
      <w:pPr>
        <w:rPr>
          <w:lang w:eastAsia="en-US"/>
        </w:rPr>
      </w:pPr>
    </w:p>
    <w:p w:rsidR="00F22D07" w:rsidRPr="00410808" w:rsidRDefault="00BA1C2E" w:rsidP="00BA1C2E">
      <w:pPr>
        <w:rPr>
          <w:lang w:eastAsia="en-US"/>
        </w:rPr>
      </w:pPr>
      <w:r w:rsidRPr="00410808">
        <w:rPr>
          <w:lang w:eastAsia="en-US"/>
        </w:rPr>
        <w:t xml:space="preserve">The </w:t>
      </w:r>
      <w:r w:rsidR="008721F4" w:rsidRPr="00410808">
        <w:rPr>
          <w:lang w:eastAsia="en-US"/>
        </w:rPr>
        <w:t xml:space="preserve">Pension Fund </w:t>
      </w:r>
      <w:r w:rsidRPr="00410808">
        <w:rPr>
          <w:lang w:eastAsia="en-US"/>
        </w:rPr>
        <w:t xml:space="preserve">Committee </w:t>
      </w:r>
      <w:r w:rsidR="00E05C4F" w:rsidRPr="00410808">
        <w:rPr>
          <w:lang w:eastAsia="en-US"/>
        </w:rPr>
        <w:t xml:space="preserve">has considered the governance arrangements relating to the administration and investments of the Fund in the light of </w:t>
      </w:r>
      <w:r w:rsidR="00235B52" w:rsidRPr="00410808">
        <w:rPr>
          <w:lang w:eastAsia="en-US"/>
        </w:rPr>
        <w:t>the</w:t>
      </w:r>
      <w:r w:rsidR="00E05C4F" w:rsidRPr="00410808">
        <w:rPr>
          <w:lang w:eastAsia="en-US"/>
        </w:rPr>
        <w:t xml:space="preserve"> guidance issued by the Department for Communities and Local Government (DCLG) regarding the requirement to complete a Governance Compliance Statement, established for all areas of governance of </w:t>
      </w:r>
      <w:r w:rsidR="00CE1C22" w:rsidRPr="00410808">
        <w:rPr>
          <w:lang w:eastAsia="en-US"/>
        </w:rPr>
        <w:t>p</w:t>
      </w:r>
      <w:r w:rsidR="00E05C4F" w:rsidRPr="00410808">
        <w:rPr>
          <w:lang w:eastAsia="en-US"/>
        </w:rPr>
        <w:t xml:space="preserve">ension </w:t>
      </w:r>
      <w:r w:rsidR="00CE1C22" w:rsidRPr="00410808">
        <w:rPr>
          <w:lang w:eastAsia="en-US"/>
        </w:rPr>
        <w:t>f</w:t>
      </w:r>
      <w:r w:rsidR="00E05C4F" w:rsidRPr="00410808">
        <w:rPr>
          <w:lang w:eastAsia="en-US"/>
        </w:rPr>
        <w:t>und activities</w:t>
      </w:r>
      <w:r w:rsidR="00882CCB" w:rsidRPr="00410808">
        <w:rPr>
          <w:lang w:eastAsia="en-US"/>
        </w:rPr>
        <w:t>.</w:t>
      </w:r>
      <w:r w:rsidR="00E05C4F" w:rsidRPr="00410808">
        <w:rPr>
          <w:lang w:eastAsia="en-US"/>
        </w:rPr>
        <w:t xml:space="preserve">  </w:t>
      </w:r>
    </w:p>
    <w:p w:rsidR="00F22D07" w:rsidRPr="00410808" w:rsidRDefault="00F22D07" w:rsidP="00BA1C2E">
      <w:pPr>
        <w:rPr>
          <w:lang w:eastAsia="en-US"/>
        </w:rPr>
      </w:pPr>
    </w:p>
    <w:p w:rsidR="00083031" w:rsidRPr="006E1493" w:rsidRDefault="00E05C4F" w:rsidP="00083031">
      <w:pPr>
        <w:rPr>
          <w:rFonts w:cs="Arial"/>
          <w:color w:val="FF0000"/>
        </w:rPr>
      </w:pPr>
      <w:r w:rsidRPr="00410808">
        <w:rPr>
          <w:lang w:eastAsia="en-US"/>
        </w:rPr>
        <w:t xml:space="preserve">Comprehensive terms of reference have been established for all areas of </w:t>
      </w:r>
      <w:r w:rsidR="00CE1C22" w:rsidRPr="00410808">
        <w:rPr>
          <w:lang w:eastAsia="en-US"/>
        </w:rPr>
        <w:t>g</w:t>
      </w:r>
      <w:r w:rsidRPr="00410808">
        <w:rPr>
          <w:lang w:eastAsia="en-US"/>
        </w:rPr>
        <w:t xml:space="preserve">overnance of </w:t>
      </w:r>
      <w:r w:rsidR="00CE1C22" w:rsidRPr="00410808">
        <w:rPr>
          <w:lang w:eastAsia="en-US"/>
        </w:rPr>
        <w:t>p</w:t>
      </w:r>
      <w:r w:rsidRPr="00410808">
        <w:rPr>
          <w:lang w:eastAsia="en-US"/>
        </w:rPr>
        <w:t xml:space="preserve">ension </w:t>
      </w:r>
      <w:r w:rsidR="00CE1C22" w:rsidRPr="00410808">
        <w:rPr>
          <w:lang w:eastAsia="en-US"/>
        </w:rPr>
        <w:t>f</w:t>
      </w:r>
      <w:r w:rsidRPr="00410808">
        <w:rPr>
          <w:lang w:eastAsia="en-US"/>
        </w:rPr>
        <w:t xml:space="preserve">und activities including the Pension Fund Committee, the Investment Panel, the Administration Panel and issues delegated to the Treasurer to the Fund.  These can be found </w:t>
      </w:r>
      <w:r w:rsidR="00F22D07" w:rsidRPr="00410808">
        <w:rPr>
          <w:lang w:eastAsia="en-US"/>
        </w:rPr>
        <w:t>in the Fund’s Governance Policy Statement</w:t>
      </w:r>
      <w:r w:rsidR="00083031">
        <w:rPr>
          <w:lang w:eastAsia="en-US"/>
        </w:rPr>
        <w:t>.</w:t>
      </w:r>
      <w:r w:rsidR="00856114">
        <w:rPr>
          <w:lang w:eastAsia="en-US"/>
        </w:rPr>
        <w:t xml:space="preserve"> </w:t>
      </w:r>
      <w:hyperlink r:id="rId8" w:history="1">
        <w:r w:rsidR="00856114" w:rsidRPr="00856114">
          <w:rPr>
            <w:rStyle w:val="Hyperlink"/>
            <w:lang w:eastAsia="en-US"/>
          </w:rPr>
          <w:t>Governance Policy Statement</w:t>
        </w:r>
      </w:hyperlink>
      <w:r w:rsidR="00856114" w:rsidRPr="006E1493">
        <w:rPr>
          <w:rFonts w:cs="Arial"/>
          <w:color w:val="FF0000"/>
        </w:rPr>
        <w:t xml:space="preserve"> </w:t>
      </w:r>
    </w:p>
    <w:p w:rsidR="00E05C4F" w:rsidRPr="00410808" w:rsidRDefault="00E05C4F" w:rsidP="00BA1C2E">
      <w:pPr>
        <w:rPr>
          <w:lang w:eastAsia="en-US"/>
        </w:rPr>
      </w:pPr>
    </w:p>
    <w:p w:rsidR="00F22D07" w:rsidRPr="00410808" w:rsidRDefault="00F22D07" w:rsidP="00BA1C2E">
      <w:pPr>
        <w:rPr>
          <w:lang w:eastAsia="en-US"/>
        </w:rPr>
      </w:pPr>
      <w:r w:rsidRPr="00410808">
        <w:rPr>
          <w:lang w:eastAsia="en-US"/>
        </w:rPr>
        <w:t>The Fund’s Govern</w:t>
      </w:r>
      <w:r w:rsidR="002D6E80" w:rsidRPr="00410808">
        <w:rPr>
          <w:lang w:eastAsia="en-US"/>
        </w:rPr>
        <w:t>ance</w:t>
      </w:r>
      <w:r w:rsidRPr="00410808">
        <w:rPr>
          <w:lang w:eastAsia="en-US"/>
        </w:rPr>
        <w:t xml:space="preserve"> Compliance Statement is shown below</w:t>
      </w:r>
      <w:r w:rsidR="00C95E23" w:rsidRPr="00410808">
        <w:rPr>
          <w:lang w:eastAsia="en-US"/>
        </w:rPr>
        <w:t xml:space="preserve"> reporting</w:t>
      </w:r>
      <w:r w:rsidRPr="00410808">
        <w:rPr>
          <w:lang w:eastAsia="en-US"/>
        </w:rPr>
        <w:t xml:space="preserve"> compliance with guidance given by the Secretary of State.</w:t>
      </w:r>
    </w:p>
    <w:p w:rsidR="00F22D07" w:rsidRPr="00410808" w:rsidRDefault="00F22D07" w:rsidP="00BA1C2E">
      <w:pPr>
        <w:rPr>
          <w:lang w:eastAsia="en-US"/>
        </w:rPr>
      </w:pPr>
    </w:p>
    <w:p w:rsidR="00817DB0" w:rsidRPr="00410808" w:rsidRDefault="00817DB0" w:rsidP="00817DB0">
      <w:pPr>
        <w:rPr>
          <w:rFonts w:cs="Arial"/>
          <w:b/>
        </w:rPr>
      </w:pPr>
      <w:r w:rsidRPr="00410808">
        <w:rPr>
          <w:rFonts w:cs="Arial"/>
          <w:b/>
        </w:rPr>
        <w:t>LANCASH</w:t>
      </w:r>
      <w:r w:rsidR="00F22D07" w:rsidRPr="00410808">
        <w:rPr>
          <w:rFonts w:cs="Arial"/>
          <w:b/>
        </w:rPr>
        <w:t>I</w:t>
      </w:r>
      <w:r w:rsidRPr="00410808">
        <w:rPr>
          <w:rFonts w:cs="Arial"/>
          <w:b/>
        </w:rPr>
        <w:t>RE COUNTY PENSION FUND GOVERNANCE COMPLIANCE STATEMENT:</w:t>
      </w:r>
    </w:p>
    <w:p w:rsidR="00817DB0" w:rsidRPr="00D14D29" w:rsidRDefault="00817DB0" w:rsidP="00817DB0">
      <w:pPr>
        <w:rPr>
          <w:rFonts w:cs="Arial"/>
          <w:b/>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24"/>
        <w:gridCol w:w="6164"/>
        <w:gridCol w:w="1665"/>
      </w:tblGrid>
      <w:tr w:rsidR="00817DB0" w:rsidRPr="00D14D29" w:rsidTr="00C95E23">
        <w:tc>
          <w:tcPr>
            <w:tcW w:w="2024" w:type="dxa"/>
            <w:vAlign w:val="center"/>
          </w:tcPr>
          <w:p w:rsidR="00817DB0" w:rsidRPr="00410808" w:rsidRDefault="00817DB0" w:rsidP="00F22D07">
            <w:pPr>
              <w:rPr>
                <w:rFonts w:cs="Arial"/>
                <w:b/>
              </w:rPr>
            </w:pPr>
            <w:r w:rsidRPr="00410808">
              <w:rPr>
                <w:rFonts w:cs="Arial"/>
                <w:b/>
              </w:rPr>
              <w:t>Principle</w:t>
            </w:r>
          </w:p>
        </w:tc>
        <w:tc>
          <w:tcPr>
            <w:tcW w:w="6164" w:type="dxa"/>
            <w:vAlign w:val="center"/>
          </w:tcPr>
          <w:p w:rsidR="00817DB0" w:rsidRPr="00410808" w:rsidRDefault="00817DB0" w:rsidP="00F22D07">
            <w:pPr>
              <w:rPr>
                <w:rFonts w:cs="Arial"/>
                <w:b/>
              </w:rPr>
            </w:pPr>
          </w:p>
        </w:tc>
        <w:tc>
          <w:tcPr>
            <w:tcW w:w="1665" w:type="dxa"/>
            <w:vAlign w:val="center"/>
          </w:tcPr>
          <w:p w:rsidR="00817DB0" w:rsidRPr="00410808" w:rsidRDefault="00817DB0" w:rsidP="00F22D07">
            <w:pPr>
              <w:rPr>
                <w:rFonts w:cs="Arial"/>
                <w:b/>
              </w:rPr>
            </w:pPr>
            <w:r w:rsidRPr="00410808">
              <w:rPr>
                <w:rFonts w:cs="Arial"/>
                <w:b/>
              </w:rPr>
              <w:t>Full Compliance</w:t>
            </w:r>
          </w:p>
        </w:tc>
      </w:tr>
      <w:tr w:rsidR="00817DB0" w:rsidRPr="00D14D29" w:rsidTr="003C52C2">
        <w:tc>
          <w:tcPr>
            <w:tcW w:w="2024" w:type="dxa"/>
          </w:tcPr>
          <w:p w:rsidR="00817DB0" w:rsidRPr="00410808" w:rsidRDefault="00817DB0" w:rsidP="0009677B">
            <w:pPr>
              <w:rPr>
                <w:rFonts w:cs="Arial"/>
                <w:b/>
              </w:rPr>
            </w:pPr>
          </w:p>
          <w:p w:rsidR="00817DB0" w:rsidRPr="00410808" w:rsidRDefault="00817DB0" w:rsidP="0009677B">
            <w:pPr>
              <w:rPr>
                <w:rFonts w:cs="Arial"/>
                <w:b/>
              </w:rPr>
            </w:pPr>
            <w:r w:rsidRPr="00410808">
              <w:rPr>
                <w:rFonts w:cs="Arial"/>
                <w:b/>
              </w:rPr>
              <w:t>A Structure</w:t>
            </w:r>
          </w:p>
        </w:tc>
        <w:tc>
          <w:tcPr>
            <w:tcW w:w="6164" w:type="dxa"/>
          </w:tcPr>
          <w:p w:rsidR="00817DB0" w:rsidRPr="00410808" w:rsidRDefault="00817DB0" w:rsidP="0009677B">
            <w:pPr>
              <w:rPr>
                <w:rFonts w:cs="Arial"/>
                <w:i/>
                <w:szCs w:val="24"/>
              </w:rPr>
            </w:pPr>
          </w:p>
          <w:p w:rsidR="00817DB0" w:rsidRPr="00410808" w:rsidRDefault="00817DB0" w:rsidP="0009677B">
            <w:pPr>
              <w:rPr>
                <w:rFonts w:cs="Arial"/>
                <w:i/>
                <w:szCs w:val="24"/>
              </w:rPr>
            </w:pPr>
            <w:r w:rsidRPr="00410808">
              <w:rPr>
                <w:rFonts w:cs="Arial"/>
                <w:i/>
                <w:szCs w:val="24"/>
              </w:rPr>
              <w:t>(a) the Management of the administration of benefits and strategic management of fund assets clearly rests with the main committee established by the appointing Council</w:t>
            </w:r>
          </w:p>
          <w:p w:rsidR="00817DB0" w:rsidRPr="00410808" w:rsidRDefault="00817DB0" w:rsidP="0009677B">
            <w:pPr>
              <w:rPr>
                <w:rFonts w:cs="Arial"/>
                <w:i/>
                <w:szCs w:val="24"/>
              </w:rPr>
            </w:pPr>
          </w:p>
          <w:p w:rsidR="00817DB0" w:rsidRPr="00410808" w:rsidRDefault="00817DB0" w:rsidP="0009677B">
            <w:pPr>
              <w:rPr>
                <w:rFonts w:cs="Arial"/>
                <w:i/>
                <w:szCs w:val="24"/>
              </w:rPr>
            </w:pPr>
            <w:r w:rsidRPr="00410808">
              <w:rPr>
                <w:rFonts w:cs="Arial"/>
                <w:i/>
                <w:szCs w:val="24"/>
              </w:rPr>
              <w:t>(b) that representatives of participating LGPS employers, admitted bodies and scheme members (including pensioner and deferred members) are members of either the main or secondary committee established to underpin the work of the main committee(1)</w:t>
            </w:r>
          </w:p>
          <w:p w:rsidR="00817DB0" w:rsidRPr="00410808" w:rsidRDefault="00817DB0" w:rsidP="0009677B">
            <w:pPr>
              <w:rPr>
                <w:rFonts w:cs="Arial"/>
                <w:i/>
                <w:szCs w:val="24"/>
              </w:rPr>
            </w:pPr>
          </w:p>
          <w:p w:rsidR="00817DB0" w:rsidRPr="00410808" w:rsidRDefault="00817DB0" w:rsidP="0009677B">
            <w:pPr>
              <w:rPr>
                <w:rFonts w:cs="Arial"/>
                <w:i/>
                <w:szCs w:val="24"/>
              </w:rPr>
            </w:pPr>
            <w:r w:rsidRPr="00410808">
              <w:rPr>
                <w:rFonts w:cs="Arial"/>
                <w:i/>
                <w:szCs w:val="24"/>
              </w:rPr>
              <w:t>(c) that where a secondary committee or panel has been established, the structure ensures effective communication across both levels.</w:t>
            </w:r>
          </w:p>
          <w:p w:rsidR="00817DB0" w:rsidRPr="00410808" w:rsidRDefault="00817DB0" w:rsidP="0009677B">
            <w:pPr>
              <w:rPr>
                <w:rFonts w:cs="Arial"/>
                <w:i/>
                <w:szCs w:val="24"/>
              </w:rPr>
            </w:pPr>
          </w:p>
          <w:p w:rsidR="00817DB0" w:rsidRPr="00410808" w:rsidRDefault="00817DB0" w:rsidP="0009677B">
            <w:pPr>
              <w:rPr>
                <w:rFonts w:cs="Arial"/>
                <w:i/>
                <w:szCs w:val="24"/>
              </w:rPr>
            </w:pPr>
            <w:r w:rsidRPr="00410808">
              <w:rPr>
                <w:rFonts w:cs="Arial"/>
                <w:i/>
                <w:szCs w:val="24"/>
              </w:rPr>
              <w:t>(d) that where a secondary committee or panel has been established, at least one seat on the main committee is allocated for a member from the secondary committee or panel.</w:t>
            </w:r>
          </w:p>
          <w:p w:rsidR="00817DB0" w:rsidRPr="00410808" w:rsidRDefault="00817DB0" w:rsidP="0009677B">
            <w:pPr>
              <w:rPr>
                <w:rFonts w:cs="Arial"/>
                <w:i/>
                <w:szCs w:val="24"/>
              </w:rPr>
            </w:pPr>
          </w:p>
        </w:tc>
        <w:tc>
          <w:tcPr>
            <w:tcW w:w="1665" w:type="dxa"/>
          </w:tcPr>
          <w:p w:rsidR="00817DB0" w:rsidRPr="00410808" w:rsidRDefault="00817DB0" w:rsidP="003207B3">
            <w:pPr>
              <w:rPr>
                <w:rFonts w:cs="Arial"/>
                <w:szCs w:val="24"/>
              </w:rPr>
            </w:pPr>
          </w:p>
          <w:p w:rsidR="003207B3" w:rsidRPr="00410808" w:rsidRDefault="00E851AA" w:rsidP="003207B3">
            <w:pPr>
              <w:rPr>
                <w:rFonts w:cs="Arial"/>
                <w:szCs w:val="24"/>
              </w:rPr>
            </w:pPr>
            <w:r w:rsidRPr="00410808">
              <w:rPr>
                <w:rFonts w:cs="Arial"/>
                <w:szCs w:val="24"/>
              </w:rPr>
              <w:t>√</w:t>
            </w:r>
          </w:p>
          <w:p w:rsidR="00817DB0" w:rsidRPr="00410808" w:rsidRDefault="00817DB0" w:rsidP="003207B3">
            <w:pPr>
              <w:rPr>
                <w:rFonts w:cs="Arial"/>
                <w:szCs w:val="24"/>
              </w:rPr>
            </w:pPr>
          </w:p>
          <w:p w:rsidR="00817DB0" w:rsidRPr="00410808" w:rsidRDefault="00817DB0" w:rsidP="003207B3">
            <w:pPr>
              <w:rPr>
                <w:rFonts w:cs="Arial"/>
                <w:szCs w:val="24"/>
              </w:rPr>
            </w:pPr>
          </w:p>
          <w:p w:rsidR="002E2805" w:rsidRPr="00410808" w:rsidRDefault="002E2805" w:rsidP="003207B3">
            <w:pPr>
              <w:rPr>
                <w:rFonts w:cs="Arial"/>
                <w:szCs w:val="24"/>
              </w:rPr>
            </w:pPr>
          </w:p>
          <w:p w:rsidR="002E2805" w:rsidRPr="00410808" w:rsidRDefault="002E2805" w:rsidP="003207B3">
            <w:pPr>
              <w:rPr>
                <w:rFonts w:cs="Arial"/>
                <w:szCs w:val="24"/>
              </w:rPr>
            </w:pPr>
          </w:p>
          <w:p w:rsidR="009D1ADE" w:rsidRPr="00410808" w:rsidRDefault="00AD79A4" w:rsidP="003207B3">
            <w:pPr>
              <w:rPr>
                <w:rFonts w:cs="Arial"/>
                <w:szCs w:val="24"/>
              </w:rPr>
            </w:pPr>
            <w:r w:rsidRPr="00410808">
              <w:rPr>
                <w:rFonts w:cs="Arial"/>
                <w:szCs w:val="24"/>
              </w:rPr>
              <w:t>×</w:t>
            </w:r>
            <w:r w:rsidR="00C70B65" w:rsidRPr="00410808">
              <w:rPr>
                <w:rFonts w:cs="Arial"/>
                <w:szCs w:val="24"/>
              </w:rPr>
              <w:t xml:space="preserve"> </w:t>
            </w:r>
          </w:p>
          <w:p w:rsidR="00B45DC4" w:rsidRPr="00410808" w:rsidRDefault="003C52C2" w:rsidP="003207B3">
            <w:pPr>
              <w:rPr>
                <w:rFonts w:cs="Arial"/>
                <w:szCs w:val="24"/>
              </w:rPr>
            </w:pPr>
            <w:r w:rsidRPr="00410808">
              <w:rPr>
                <w:rFonts w:cs="Arial"/>
                <w:szCs w:val="24"/>
              </w:rPr>
              <w:t>(see note 1 below)</w:t>
            </w:r>
          </w:p>
          <w:p w:rsidR="00B45DC4" w:rsidRPr="00410808" w:rsidRDefault="00B45DC4" w:rsidP="003207B3">
            <w:pPr>
              <w:rPr>
                <w:rFonts w:cs="Arial"/>
                <w:szCs w:val="24"/>
              </w:rPr>
            </w:pPr>
          </w:p>
          <w:p w:rsidR="00B45DC4" w:rsidRPr="00410808" w:rsidRDefault="00B45DC4" w:rsidP="003207B3">
            <w:pPr>
              <w:rPr>
                <w:rFonts w:cs="Arial"/>
                <w:szCs w:val="24"/>
              </w:rPr>
            </w:pPr>
          </w:p>
          <w:p w:rsidR="002E2805" w:rsidRPr="00410808" w:rsidRDefault="002E2805" w:rsidP="003207B3">
            <w:pPr>
              <w:rPr>
                <w:rFonts w:cs="Arial"/>
                <w:szCs w:val="24"/>
              </w:rPr>
            </w:pPr>
          </w:p>
          <w:p w:rsidR="002E2805" w:rsidRPr="00410808" w:rsidRDefault="002E2805" w:rsidP="003207B3">
            <w:pPr>
              <w:rPr>
                <w:rFonts w:cs="Arial"/>
                <w:szCs w:val="24"/>
              </w:rPr>
            </w:pPr>
          </w:p>
          <w:p w:rsidR="00B45DC4" w:rsidRPr="00410808" w:rsidRDefault="00B45DC4" w:rsidP="003207B3">
            <w:pPr>
              <w:rPr>
                <w:rFonts w:cs="Arial"/>
                <w:szCs w:val="24"/>
              </w:rPr>
            </w:pPr>
            <w:r w:rsidRPr="00410808">
              <w:rPr>
                <w:rFonts w:cs="Arial"/>
                <w:szCs w:val="24"/>
              </w:rPr>
              <w:t>√</w:t>
            </w:r>
          </w:p>
          <w:p w:rsidR="00B45DC4" w:rsidRPr="00410808" w:rsidRDefault="00B45DC4" w:rsidP="003207B3">
            <w:pPr>
              <w:rPr>
                <w:rFonts w:cs="Arial"/>
                <w:szCs w:val="24"/>
              </w:rPr>
            </w:pPr>
          </w:p>
          <w:p w:rsidR="00B45DC4" w:rsidRPr="00410808" w:rsidRDefault="00B45DC4" w:rsidP="003207B3">
            <w:pPr>
              <w:rPr>
                <w:rFonts w:cs="Arial"/>
                <w:szCs w:val="24"/>
              </w:rPr>
            </w:pPr>
          </w:p>
          <w:p w:rsidR="00B45DC4" w:rsidRPr="00410808" w:rsidRDefault="00B45DC4" w:rsidP="003207B3">
            <w:pPr>
              <w:rPr>
                <w:rFonts w:cs="Arial"/>
                <w:szCs w:val="24"/>
              </w:rPr>
            </w:pPr>
          </w:p>
          <w:p w:rsidR="00B45DC4" w:rsidRPr="00410808" w:rsidRDefault="00B45DC4" w:rsidP="003207B3">
            <w:pPr>
              <w:rPr>
                <w:rFonts w:cs="Arial"/>
                <w:szCs w:val="24"/>
              </w:rPr>
            </w:pPr>
            <w:r w:rsidRPr="00410808">
              <w:rPr>
                <w:rFonts w:cs="Arial"/>
                <w:szCs w:val="24"/>
              </w:rPr>
              <w:t>√</w:t>
            </w:r>
          </w:p>
        </w:tc>
      </w:tr>
      <w:tr w:rsidR="003C52C2" w:rsidRPr="00D14D29" w:rsidTr="00C95E23">
        <w:tc>
          <w:tcPr>
            <w:tcW w:w="2024" w:type="dxa"/>
            <w:tcBorders>
              <w:bottom w:val="single" w:sz="4" w:space="0" w:color="auto"/>
            </w:tcBorders>
          </w:tcPr>
          <w:p w:rsidR="003C52C2" w:rsidRPr="00D14D29" w:rsidRDefault="003C52C2" w:rsidP="0009677B">
            <w:pPr>
              <w:rPr>
                <w:rFonts w:cs="Arial"/>
                <w:b/>
                <w:highlight w:val="yellow"/>
              </w:rPr>
            </w:pPr>
            <w:r w:rsidRPr="00D14D29">
              <w:rPr>
                <w:rFonts w:cs="Arial"/>
                <w:b/>
                <w:highlight w:val="yellow"/>
              </w:rPr>
              <w:t xml:space="preserve">     </w:t>
            </w:r>
          </w:p>
        </w:tc>
        <w:tc>
          <w:tcPr>
            <w:tcW w:w="6164" w:type="dxa"/>
            <w:tcBorders>
              <w:bottom w:val="single" w:sz="4" w:space="0" w:color="auto"/>
            </w:tcBorders>
          </w:tcPr>
          <w:p w:rsidR="003C52C2" w:rsidRPr="00D14D29" w:rsidRDefault="003C52C2" w:rsidP="0009677B">
            <w:pPr>
              <w:rPr>
                <w:rFonts w:cs="Arial"/>
                <w:i/>
                <w:szCs w:val="24"/>
                <w:highlight w:val="yellow"/>
              </w:rPr>
            </w:pPr>
          </w:p>
        </w:tc>
        <w:tc>
          <w:tcPr>
            <w:tcW w:w="1665" w:type="dxa"/>
            <w:tcBorders>
              <w:bottom w:val="single" w:sz="4" w:space="0" w:color="auto"/>
            </w:tcBorders>
          </w:tcPr>
          <w:p w:rsidR="003C52C2" w:rsidRPr="00D14D29" w:rsidRDefault="003C52C2" w:rsidP="003207B3">
            <w:pPr>
              <w:rPr>
                <w:rFonts w:cs="Arial"/>
                <w:szCs w:val="24"/>
                <w:highlight w:val="yellow"/>
              </w:rPr>
            </w:pPr>
          </w:p>
        </w:tc>
      </w:tr>
    </w:tbl>
    <w:p w:rsidR="0017515A" w:rsidRPr="00D14D29" w:rsidRDefault="0017515A">
      <w:pPr>
        <w:rPr>
          <w:highlight w:val="yellow"/>
        </w:rPr>
      </w:pPr>
      <w:r w:rsidRPr="00D14D29">
        <w:rPr>
          <w:highlight w:val="yellow"/>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376"/>
        <w:gridCol w:w="5612"/>
        <w:gridCol w:w="1865"/>
      </w:tblGrid>
      <w:tr w:rsidR="00817DB0" w:rsidRPr="00D14D29" w:rsidTr="00C95E23">
        <w:tc>
          <w:tcPr>
            <w:tcW w:w="2376" w:type="dxa"/>
            <w:tcBorders>
              <w:top w:val="single" w:sz="4" w:space="0" w:color="auto"/>
            </w:tcBorders>
          </w:tcPr>
          <w:p w:rsidR="00817DB0" w:rsidRPr="00410808" w:rsidRDefault="00817DB0" w:rsidP="0009677B">
            <w:pPr>
              <w:rPr>
                <w:rFonts w:cs="Arial"/>
                <w:b/>
              </w:rPr>
            </w:pPr>
          </w:p>
          <w:p w:rsidR="00817DB0" w:rsidRPr="00410808" w:rsidRDefault="00817DB0" w:rsidP="0009677B">
            <w:pPr>
              <w:rPr>
                <w:rFonts w:cs="Arial"/>
                <w:b/>
              </w:rPr>
            </w:pPr>
            <w:r w:rsidRPr="00410808">
              <w:rPr>
                <w:rFonts w:cs="Arial"/>
                <w:b/>
              </w:rPr>
              <w:t>B Representation</w:t>
            </w:r>
          </w:p>
        </w:tc>
        <w:tc>
          <w:tcPr>
            <w:tcW w:w="5612" w:type="dxa"/>
            <w:tcBorders>
              <w:top w:val="single" w:sz="4" w:space="0" w:color="auto"/>
            </w:tcBorders>
          </w:tcPr>
          <w:p w:rsidR="00817DB0" w:rsidRPr="00410808" w:rsidRDefault="00817DB0" w:rsidP="0009677B">
            <w:pPr>
              <w:rPr>
                <w:rFonts w:cs="Arial"/>
                <w:i/>
                <w:szCs w:val="24"/>
              </w:rPr>
            </w:pPr>
          </w:p>
          <w:p w:rsidR="00F41861" w:rsidRPr="00410808" w:rsidRDefault="00817DB0" w:rsidP="00011588">
            <w:pPr>
              <w:numPr>
                <w:ilvl w:val="0"/>
                <w:numId w:val="11"/>
              </w:numPr>
              <w:rPr>
                <w:rFonts w:cs="Arial"/>
                <w:i/>
                <w:szCs w:val="24"/>
              </w:rPr>
            </w:pPr>
            <w:r w:rsidRPr="00410808">
              <w:rPr>
                <w:rFonts w:cs="Arial"/>
                <w:i/>
                <w:szCs w:val="24"/>
              </w:rPr>
              <w:t xml:space="preserve">that all key stakeholders are afforded the opportunity to be represented within the main or secondary committee structure. </w:t>
            </w:r>
            <w:r w:rsidR="00B45DC4" w:rsidRPr="00410808">
              <w:rPr>
                <w:rFonts w:cs="Arial"/>
                <w:i/>
                <w:szCs w:val="24"/>
              </w:rPr>
              <w:t>(1)</w:t>
            </w:r>
            <w:r w:rsidRPr="00410808">
              <w:rPr>
                <w:rFonts w:cs="Arial"/>
                <w:i/>
                <w:szCs w:val="24"/>
              </w:rPr>
              <w:t xml:space="preserve"> </w:t>
            </w:r>
          </w:p>
          <w:p w:rsidR="00F41861" w:rsidRPr="00410808" w:rsidRDefault="00F41861" w:rsidP="00F41861">
            <w:pPr>
              <w:ind w:left="720"/>
              <w:rPr>
                <w:rFonts w:cs="Arial"/>
                <w:i/>
                <w:szCs w:val="24"/>
              </w:rPr>
            </w:pPr>
          </w:p>
          <w:p w:rsidR="00817DB0" w:rsidRPr="00410808" w:rsidRDefault="00817DB0" w:rsidP="00F41861">
            <w:pPr>
              <w:rPr>
                <w:rFonts w:cs="Arial"/>
                <w:i/>
                <w:szCs w:val="24"/>
              </w:rPr>
            </w:pPr>
            <w:r w:rsidRPr="00410808">
              <w:rPr>
                <w:rFonts w:cs="Arial"/>
                <w:i/>
                <w:szCs w:val="24"/>
              </w:rPr>
              <w:t>These include</w:t>
            </w:r>
            <w:r w:rsidR="00F41861" w:rsidRPr="00410808">
              <w:rPr>
                <w:rFonts w:cs="Arial"/>
                <w:i/>
                <w:szCs w:val="24"/>
              </w:rPr>
              <w:t>:</w:t>
            </w:r>
          </w:p>
          <w:p w:rsidR="003207B3" w:rsidRPr="00410808" w:rsidRDefault="00817DB0" w:rsidP="00011588">
            <w:pPr>
              <w:numPr>
                <w:ilvl w:val="0"/>
                <w:numId w:val="9"/>
              </w:numPr>
              <w:tabs>
                <w:tab w:val="clear" w:pos="1080"/>
                <w:tab w:val="num" w:pos="387"/>
              </w:tabs>
              <w:ind w:hanging="1080"/>
              <w:rPr>
                <w:rFonts w:cs="Arial"/>
                <w:i/>
                <w:szCs w:val="24"/>
              </w:rPr>
            </w:pPr>
            <w:r w:rsidRPr="00410808">
              <w:rPr>
                <w:rFonts w:cs="Arial"/>
                <w:i/>
                <w:szCs w:val="24"/>
              </w:rPr>
              <w:t xml:space="preserve">employing authorities (including non-scheme </w:t>
            </w:r>
            <w:r w:rsidR="003207B3" w:rsidRPr="00410808">
              <w:rPr>
                <w:rFonts w:cs="Arial"/>
                <w:i/>
                <w:szCs w:val="24"/>
              </w:rPr>
              <w:t xml:space="preserve"> </w:t>
            </w:r>
          </w:p>
          <w:p w:rsidR="00817DB0" w:rsidRPr="00410808" w:rsidRDefault="00817DB0" w:rsidP="003207B3">
            <w:pPr>
              <w:rPr>
                <w:rFonts w:cs="Arial"/>
                <w:i/>
                <w:szCs w:val="24"/>
              </w:rPr>
            </w:pPr>
            <w:r w:rsidRPr="00410808">
              <w:rPr>
                <w:rFonts w:cs="Arial"/>
                <w:i/>
                <w:szCs w:val="24"/>
              </w:rPr>
              <w:t xml:space="preserve">employers, </w:t>
            </w:r>
            <w:r w:rsidR="00C164EE" w:rsidRPr="00410808">
              <w:rPr>
                <w:rFonts w:cs="Arial"/>
                <w:i/>
                <w:szCs w:val="24"/>
              </w:rPr>
              <w:t>e.g.</w:t>
            </w:r>
            <w:r w:rsidRPr="00410808">
              <w:rPr>
                <w:rFonts w:cs="Arial"/>
                <w:i/>
                <w:szCs w:val="24"/>
              </w:rPr>
              <w:t xml:space="preserve"> admitted bodies)</w:t>
            </w:r>
          </w:p>
          <w:p w:rsidR="00817DB0" w:rsidRPr="00410808" w:rsidRDefault="00817DB0" w:rsidP="003207B3">
            <w:pPr>
              <w:rPr>
                <w:rFonts w:cs="Arial"/>
                <w:i/>
                <w:szCs w:val="24"/>
              </w:rPr>
            </w:pPr>
            <w:r w:rsidRPr="00410808">
              <w:rPr>
                <w:rFonts w:cs="Arial"/>
                <w:i/>
                <w:szCs w:val="24"/>
              </w:rPr>
              <w:t>(ii) scheme members (including deferred and pensioner scheme members)</w:t>
            </w:r>
          </w:p>
          <w:p w:rsidR="00817DB0" w:rsidRPr="00410808" w:rsidRDefault="00817DB0" w:rsidP="0009677B">
            <w:pPr>
              <w:rPr>
                <w:rFonts w:cs="Arial"/>
                <w:i/>
                <w:szCs w:val="24"/>
              </w:rPr>
            </w:pPr>
            <w:r w:rsidRPr="00410808">
              <w:rPr>
                <w:rFonts w:cs="Arial"/>
                <w:i/>
                <w:szCs w:val="24"/>
              </w:rPr>
              <w:t>(iii) independent professional observers</w:t>
            </w:r>
            <w:r w:rsidR="00882CCB" w:rsidRPr="00410808">
              <w:rPr>
                <w:rFonts w:cs="Arial"/>
                <w:i/>
                <w:szCs w:val="24"/>
              </w:rPr>
              <w:t xml:space="preserve"> </w:t>
            </w:r>
            <w:r w:rsidRPr="00410808">
              <w:rPr>
                <w:rFonts w:cs="Arial"/>
                <w:i/>
                <w:szCs w:val="24"/>
              </w:rPr>
              <w:t>(2)</w:t>
            </w:r>
          </w:p>
          <w:p w:rsidR="00817DB0" w:rsidRPr="00410808" w:rsidRDefault="00817DB0" w:rsidP="0009677B">
            <w:pPr>
              <w:rPr>
                <w:rFonts w:cs="Arial"/>
                <w:i/>
                <w:szCs w:val="24"/>
              </w:rPr>
            </w:pPr>
            <w:r w:rsidRPr="00410808">
              <w:rPr>
                <w:rFonts w:cs="Arial"/>
                <w:i/>
                <w:szCs w:val="24"/>
              </w:rPr>
              <w:t>(iv) expert advisers (on an ad hoc basis)</w:t>
            </w:r>
          </w:p>
          <w:p w:rsidR="00817DB0" w:rsidRPr="00410808" w:rsidRDefault="00817DB0" w:rsidP="0009677B">
            <w:pPr>
              <w:rPr>
                <w:rFonts w:cs="Arial"/>
                <w:i/>
                <w:szCs w:val="24"/>
              </w:rPr>
            </w:pPr>
          </w:p>
        </w:tc>
        <w:tc>
          <w:tcPr>
            <w:tcW w:w="1865" w:type="dxa"/>
            <w:tcBorders>
              <w:top w:val="single" w:sz="4" w:space="0" w:color="auto"/>
            </w:tcBorders>
          </w:tcPr>
          <w:p w:rsidR="00817DB0" w:rsidRPr="00410808" w:rsidRDefault="00817DB0" w:rsidP="003207B3">
            <w:pPr>
              <w:rPr>
                <w:rFonts w:cs="Arial"/>
                <w:szCs w:val="24"/>
              </w:rPr>
            </w:pPr>
          </w:p>
          <w:p w:rsidR="00B45DC4" w:rsidRPr="00410808" w:rsidRDefault="00B45DC4" w:rsidP="003207B3">
            <w:pPr>
              <w:rPr>
                <w:rFonts w:cs="Arial"/>
                <w:szCs w:val="24"/>
              </w:rPr>
            </w:pPr>
            <w:r w:rsidRPr="00410808">
              <w:rPr>
                <w:rFonts w:cs="Arial"/>
                <w:szCs w:val="24"/>
              </w:rPr>
              <w:t>×</w:t>
            </w:r>
          </w:p>
          <w:p w:rsidR="003C52C2" w:rsidRPr="00410808" w:rsidRDefault="003C52C2" w:rsidP="003C52C2">
            <w:pPr>
              <w:rPr>
                <w:rFonts w:cs="Arial"/>
                <w:szCs w:val="24"/>
              </w:rPr>
            </w:pPr>
            <w:r w:rsidRPr="00410808">
              <w:rPr>
                <w:rFonts w:cs="Arial"/>
                <w:szCs w:val="24"/>
              </w:rPr>
              <w:t>(see notes 1 and 2 below)</w:t>
            </w:r>
          </w:p>
        </w:tc>
      </w:tr>
      <w:tr w:rsidR="00817DB0" w:rsidRPr="00D14D29" w:rsidTr="0017515A">
        <w:tc>
          <w:tcPr>
            <w:tcW w:w="9853" w:type="dxa"/>
            <w:gridSpan w:val="3"/>
          </w:tcPr>
          <w:p w:rsidR="003C52C2" w:rsidRPr="00410808" w:rsidRDefault="003C52C2" w:rsidP="003207B3">
            <w:pPr>
              <w:rPr>
                <w:rFonts w:cs="Arial"/>
                <w:szCs w:val="24"/>
              </w:rPr>
            </w:pPr>
          </w:p>
          <w:p w:rsidR="00817DB0" w:rsidRPr="00410808" w:rsidRDefault="003C52C2" w:rsidP="003207B3">
            <w:pPr>
              <w:rPr>
                <w:rFonts w:cs="Arial"/>
                <w:b/>
                <w:szCs w:val="24"/>
              </w:rPr>
            </w:pPr>
            <w:r w:rsidRPr="00410808">
              <w:rPr>
                <w:rFonts w:cs="Arial"/>
                <w:b/>
                <w:szCs w:val="24"/>
              </w:rPr>
              <w:t>Reasons for Partial Compliance</w:t>
            </w:r>
          </w:p>
          <w:p w:rsidR="003C52C2" w:rsidRPr="00410808" w:rsidRDefault="003C52C2" w:rsidP="003207B3">
            <w:pPr>
              <w:rPr>
                <w:rFonts w:cs="Arial"/>
                <w:szCs w:val="24"/>
              </w:rPr>
            </w:pPr>
          </w:p>
          <w:p w:rsidR="00817DB0" w:rsidRPr="00410808" w:rsidRDefault="003C52C2" w:rsidP="003207B3">
            <w:pPr>
              <w:rPr>
                <w:rFonts w:cs="Arial"/>
                <w:szCs w:val="24"/>
              </w:rPr>
            </w:pPr>
            <w:r w:rsidRPr="00410808">
              <w:rPr>
                <w:rFonts w:cs="Arial"/>
                <w:szCs w:val="24"/>
              </w:rPr>
              <w:t>Note 1:</w:t>
            </w:r>
            <w:r w:rsidR="00817DB0" w:rsidRPr="00410808">
              <w:rPr>
                <w:rFonts w:cs="Arial"/>
                <w:szCs w:val="24"/>
              </w:rPr>
              <w:t xml:space="preserve"> </w:t>
            </w:r>
            <w:r w:rsidRPr="00410808">
              <w:rPr>
                <w:rFonts w:cs="Arial"/>
                <w:szCs w:val="24"/>
              </w:rPr>
              <w:t>Although</w:t>
            </w:r>
            <w:r w:rsidR="002E2805" w:rsidRPr="00410808">
              <w:rPr>
                <w:rFonts w:cs="Arial"/>
                <w:szCs w:val="24"/>
              </w:rPr>
              <w:t xml:space="preserve"> </w:t>
            </w:r>
            <w:r w:rsidR="00817DB0" w:rsidRPr="00410808">
              <w:rPr>
                <w:rFonts w:cs="Arial"/>
                <w:szCs w:val="24"/>
              </w:rPr>
              <w:t>District Councils</w:t>
            </w:r>
            <w:r w:rsidR="002E2805" w:rsidRPr="00410808">
              <w:rPr>
                <w:rFonts w:cs="Arial"/>
                <w:szCs w:val="24"/>
              </w:rPr>
              <w:t>,</w:t>
            </w:r>
            <w:r w:rsidR="00817DB0" w:rsidRPr="00410808">
              <w:rPr>
                <w:rFonts w:cs="Arial"/>
                <w:szCs w:val="24"/>
              </w:rPr>
              <w:t xml:space="preserve"> Scheduled Bodies </w:t>
            </w:r>
            <w:r w:rsidR="002E2805" w:rsidRPr="00410808">
              <w:rPr>
                <w:rFonts w:cs="Arial"/>
                <w:szCs w:val="24"/>
              </w:rPr>
              <w:t xml:space="preserve">and employees </w:t>
            </w:r>
            <w:r w:rsidR="00817DB0" w:rsidRPr="00410808">
              <w:rPr>
                <w:rFonts w:cs="Arial"/>
                <w:szCs w:val="24"/>
              </w:rPr>
              <w:t>are represented</w:t>
            </w:r>
            <w:r w:rsidRPr="00410808">
              <w:rPr>
                <w:rFonts w:cs="Arial"/>
                <w:szCs w:val="24"/>
              </w:rPr>
              <w:t>, Admitted bodies are not.</w:t>
            </w:r>
            <w:r w:rsidR="00817DB0" w:rsidRPr="00410808">
              <w:rPr>
                <w:rFonts w:cs="Arial"/>
                <w:szCs w:val="24"/>
              </w:rPr>
              <w:t xml:space="preserve">  Admitted bodies only represent </w:t>
            </w:r>
            <w:r w:rsidR="00F41861" w:rsidRPr="00410808">
              <w:rPr>
                <w:rFonts w:cs="Arial"/>
                <w:szCs w:val="24"/>
              </w:rPr>
              <w:t>7</w:t>
            </w:r>
            <w:r w:rsidR="00817DB0" w:rsidRPr="00410808">
              <w:rPr>
                <w:rFonts w:cs="Arial"/>
                <w:szCs w:val="24"/>
              </w:rPr>
              <w:t>% of contributors to the fund and are therefore not represented</w:t>
            </w:r>
            <w:r w:rsidRPr="00410808">
              <w:rPr>
                <w:rFonts w:cs="Arial"/>
                <w:szCs w:val="24"/>
              </w:rPr>
              <w:t>.</w:t>
            </w:r>
            <w:r w:rsidR="002E2805" w:rsidRPr="00410808">
              <w:rPr>
                <w:rFonts w:cs="Arial"/>
                <w:szCs w:val="24"/>
              </w:rPr>
              <w:t xml:space="preserve"> </w:t>
            </w:r>
            <w:r w:rsidRPr="00410808">
              <w:rPr>
                <w:rFonts w:cs="Arial"/>
                <w:szCs w:val="24"/>
              </w:rPr>
              <w:t>H</w:t>
            </w:r>
            <w:r w:rsidR="002E2805" w:rsidRPr="00410808">
              <w:rPr>
                <w:rFonts w:cs="Arial"/>
                <w:szCs w:val="24"/>
              </w:rPr>
              <w:t>owever,</w:t>
            </w:r>
            <w:r w:rsidR="00817DB0" w:rsidRPr="00410808">
              <w:rPr>
                <w:rFonts w:cs="Arial"/>
                <w:szCs w:val="24"/>
              </w:rPr>
              <w:t xml:space="preserve"> </w:t>
            </w:r>
            <w:r w:rsidR="002E2805" w:rsidRPr="00410808">
              <w:rPr>
                <w:rFonts w:cs="Arial"/>
                <w:szCs w:val="24"/>
              </w:rPr>
              <w:t>a</w:t>
            </w:r>
            <w:r w:rsidR="00817DB0" w:rsidRPr="00410808">
              <w:rPr>
                <w:rFonts w:cs="Arial"/>
                <w:szCs w:val="24"/>
              </w:rPr>
              <w:t xml:space="preserve">ll employers receive a full annual report and are alerted to important events.  </w:t>
            </w:r>
            <w:r w:rsidR="00F41861" w:rsidRPr="00410808">
              <w:rPr>
                <w:rFonts w:cs="Arial"/>
                <w:szCs w:val="24"/>
              </w:rPr>
              <w:t>Although employee representatives, i.e. Trade Unions, do not formally represent deferred and pensioner scheme members, it is accepted that representation is available to deferred and pensioners members via this route where necessary and/or appropriate.</w:t>
            </w:r>
          </w:p>
          <w:p w:rsidR="00817DB0" w:rsidRPr="00410808" w:rsidRDefault="00817DB0" w:rsidP="003207B3">
            <w:pPr>
              <w:rPr>
                <w:rFonts w:cs="Arial"/>
                <w:szCs w:val="24"/>
              </w:rPr>
            </w:pPr>
          </w:p>
          <w:p w:rsidR="00817DB0" w:rsidRPr="00410808" w:rsidRDefault="003C52C2" w:rsidP="003C52C2">
            <w:pPr>
              <w:rPr>
                <w:rFonts w:cs="Arial"/>
                <w:szCs w:val="24"/>
              </w:rPr>
            </w:pPr>
            <w:r w:rsidRPr="00410808">
              <w:rPr>
                <w:rFonts w:cs="Arial"/>
                <w:szCs w:val="24"/>
              </w:rPr>
              <w:t>Note 2:</w:t>
            </w:r>
            <w:r w:rsidR="00817DB0" w:rsidRPr="00410808">
              <w:rPr>
                <w:rFonts w:cs="Arial"/>
                <w:szCs w:val="24"/>
              </w:rPr>
              <w:t xml:space="preserve"> </w:t>
            </w:r>
            <w:r w:rsidR="00F41861" w:rsidRPr="00410808">
              <w:rPr>
                <w:rFonts w:cs="Arial"/>
                <w:szCs w:val="24"/>
              </w:rPr>
              <w:t>Guidance envisaged that an independent professional observer could be invited to participate in governance arrangements to enhance the experience, continuity, knowledge, impartiality and performance of committees or panels which would improve the public perception that high standards of governance are a reality and not just an aspiration.  This role is currently performed by</w:t>
            </w:r>
            <w:r w:rsidRPr="00410808">
              <w:rPr>
                <w:rFonts w:cs="Arial"/>
                <w:szCs w:val="24"/>
              </w:rPr>
              <w:t xml:space="preserve"> </w:t>
            </w:r>
            <w:r w:rsidR="00F41861" w:rsidRPr="00410808">
              <w:rPr>
                <w:rFonts w:cs="Arial"/>
                <w:szCs w:val="24"/>
              </w:rPr>
              <w:t xml:space="preserve">officers and it is not apparent what added value such an appointment would bring.  </w:t>
            </w:r>
          </w:p>
          <w:p w:rsidR="003C52C2" w:rsidRPr="00410808" w:rsidRDefault="003C52C2" w:rsidP="003C52C2">
            <w:pPr>
              <w:rPr>
                <w:rFonts w:cs="Arial"/>
                <w:szCs w:val="24"/>
              </w:rPr>
            </w:pPr>
          </w:p>
        </w:tc>
      </w:tr>
    </w:tbl>
    <w:p w:rsidR="0017515A" w:rsidRPr="00D14D29" w:rsidRDefault="0017515A">
      <w:pPr>
        <w:rPr>
          <w:highlight w:val="yellow"/>
        </w:rPr>
      </w:pPr>
      <w:r w:rsidRPr="00D14D29">
        <w:rPr>
          <w:highlight w:val="yellow"/>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24"/>
        <w:gridCol w:w="5964"/>
        <w:gridCol w:w="1865"/>
      </w:tblGrid>
      <w:tr w:rsidR="00817DB0" w:rsidRPr="00D14D29" w:rsidTr="0017515A">
        <w:tc>
          <w:tcPr>
            <w:tcW w:w="2024" w:type="dxa"/>
          </w:tcPr>
          <w:p w:rsidR="00817DB0" w:rsidRPr="00410808" w:rsidRDefault="00817DB0" w:rsidP="0009677B">
            <w:pPr>
              <w:rPr>
                <w:rFonts w:cs="Arial"/>
                <w:b/>
              </w:rPr>
            </w:pPr>
          </w:p>
          <w:p w:rsidR="00817DB0" w:rsidRPr="00410808" w:rsidRDefault="00817DB0" w:rsidP="0009677B">
            <w:pPr>
              <w:rPr>
                <w:rFonts w:cs="Arial"/>
                <w:b/>
              </w:rPr>
            </w:pPr>
            <w:r w:rsidRPr="00410808">
              <w:rPr>
                <w:rFonts w:cs="Arial"/>
                <w:b/>
              </w:rPr>
              <w:t>C Selection and Role of Lay Members</w:t>
            </w:r>
          </w:p>
        </w:tc>
        <w:tc>
          <w:tcPr>
            <w:tcW w:w="5964" w:type="dxa"/>
          </w:tcPr>
          <w:p w:rsidR="00817DB0" w:rsidRPr="00410808" w:rsidRDefault="00817DB0" w:rsidP="0009677B">
            <w:pPr>
              <w:rPr>
                <w:rFonts w:cs="Arial"/>
                <w:i/>
                <w:szCs w:val="24"/>
              </w:rPr>
            </w:pPr>
          </w:p>
          <w:p w:rsidR="00817DB0" w:rsidRPr="00410808" w:rsidRDefault="00817DB0" w:rsidP="0009677B">
            <w:pPr>
              <w:rPr>
                <w:rFonts w:cs="Arial"/>
                <w:i/>
                <w:szCs w:val="24"/>
              </w:rPr>
            </w:pPr>
            <w:r w:rsidRPr="00410808">
              <w:rPr>
                <w:rFonts w:cs="Arial"/>
                <w:i/>
                <w:szCs w:val="24"/>
              </w:rPr>
              <w:t xml:space="preserve">(a) that committee or panel members are made fully aware of the status, role and function they are required to perform on either a main or secondary committee. </w:t>
            </w:r>
          </w:p>
          <w:p w:rsidR="00817DB0" w:rsidRPr="00410808" w:rsidRDefault="00817DB0" w:rsidP="0009677B">
            <w:pPr>
              <w:rPr>
                <w:rFonts w:cs="Arial"/>
                <w:i/>
                <w:szCs w:val="24"/>
              </w:rPr>
            </w:pPr>
          </w:p>
          <w:p w:rsidR="00817DB0" w:rsidRPr="00410808" w:rsidRDefault="00817DB0" w:rsidP="0009677B">
            <w:pPr>
              <w:rPr>
                <w:rFonts w:cs="Arial"/>
                <w:i/>
                <w:szCs w:val="24"/>
              </w:rPr>
            </w:pPr>
            <w:r w:rsidRPr="00410808">
              <w:rPr>
                <w:rFonts w:cs="Arial"/>
                <w:i/>
                <w:szCs w:val="24"/>
              </w:rPr>
              <w:t>(It is the role of the administering authority to make places available for lay members and for the groups to nominate the representatives.  The lay members are not there to represent their own local, political or private interest but owe a duty of care to their beneficiaries and are required to act in their best interests at all time.)</w:t>
            </w:r>
          </w:p>
          <w:p w:rsidR="00817DB0" w:rsidRPr="00410808" w:rsidRDefault="00817DB0" w:rsidP="0009677B">
            <w:pPr>
              <w:rPr>
                <w:rFonts w:cs="Arial"/>
                <w:szCs w:val="24"/>
              </w:rPr>
            </w:pPr>
          </w:p>
        </w:tc>
        <w:tc>
          <w:tcPr>
            <w:tcW w:w="1865" w:type="dxa"/>
          </w:tcPr>
          <w:p w:rsidR="00817DB0" w:rsidRPr="00410808" w:rsidRDefault="00817DB0" w:rsidP="003207B3">
            <w:pPr>
              <w:rPr>
                <w:rFonts w:cs="Arial"/>
                <w:szCs w:val="24"/>
              </w:rPr>
            </w:pPr>
          </w:p>
          <w:p w:rsidR="00B45DC4" w:rsidRPr="00410808" w:rsidRDefault="00B45DC4" w:rsidP="003207B3">
            <w:pPr>
              <w:rPr>
                <w:rFonts w:cs="Arial"/>
                <w:szCs w:val="24"/>
              </w:rPr>
            </w:pPr>
            <w:r w:rsidRPr="00410808">
              <w:rPr>
                <w:rFonts w:cs="Arial"/>
                <w:szCs w:val="24"/>
              </w:rPr>
              <w:t>√</w:t>
            </w:r>
          </w:p>
          <w:p w:rsidR="00B45DC4" w:rsidRPr="00410808" w:rsidRDefault="00B45DC4" w:rsidP="003207B3">
            <w:pPr>
              <w:rPr>
                <w:rFonts w:cs="Arial"/>
                <w:szCs w:val="24"/>
              </w:rPr>
            </w:pPr>
          </w:p>
        </w:tc>
      </w:tr>
      <w:tr w:rsidR="00817DB0" w:rsidRPr="00D14D29" w:rsidTr="0017515A">
        <w:tc>
          <w:tcPr>
            <w:tcW w:w="2024" w:type="dxa"/>
          </w:tcPr>
          <w:p w:rsidR="00817DB0" w:rsidRPr="00410808" w:rsidRDefault="00817DB0" w:rsidP="0009677B">
            <w:pPr>
              <w:rPr>
                <w:rFonts w:cs="Arial"/>
                <w:b/>
              </w:rPr>
            </w:pPr>
          </w:p>
          <w:p w:rsidR="00817DB0" w:rsidRPr="00410808" w:rsidRDefault="00817DB0" w:rsidP="0009677B">
            <w:pPr>
              <w:rPr>
                <w:rFonts w:cs="Arial"/>
                <w:b/>
              </w:rPr>
            </w:pPr>
            <w:r w:rsidRPr="00410808">
              <w:rPr>
                <w:rFonts w:cs="Arial"/>
                <w:b/>
              </w:rPr>
              <w:t>D  Voting</w:t>
            </w:r>
          </w:p>
        </w:tc>
        <w:tc>
          <w:tcPr>
            <w:tcW w:w="5964" w:type="dxa"/>
          </w:tcPr>
          <w:p w:rsidR="00817DB0" w:rsidRPr="00410808" w:rsidRDefault="00817DB0" w:rsidP="0009677B">
            <w:pPr>
              <w:rPr>
                <w:rFonts w:cs="Arial"/>
                <w:i/>
                <w:szCs w:val="24"/>
              </w:rPr>
            </w:pPr>
          </w:p>
          <w:p w:rsidR="00817DB0" w:rsidRPr="00410808" w:rsidRDefault="00817DB0" w:rsidP="0009677B">
            <w:pPr>
              <w:rPr>
                <w:rFonts w:cs="Arial"/>
                <w:i/>
                <w:szCs w:val="24"/>
              </w:rPr>
            </w:pPr>
            <w:r w:rsidRPr="00410808">
              <w:rPr>
                <w:rFonts w:cs="Arial"/>
                <w:i/>
                <w:szCs w:val="24"/>
              </w:rPr>
              <w:t>(a) the policy of individual administering authorities on voting rights is clear and transparent, including the justification for not extending voting rights to each body or group represented on main LGPS committees.</w:t>
            </w:r>
          </w:p>
          <w:p w:rsidR="00817DB0" w:rsidRPr="00410808" w:rsidRDefault="00817DB0" w:rsidP="0009677B">
            <w:pPr>
              <w:rPr>
                <w:rFonts w:cs="Arial"/>
                <w:i/>
                <w:szCs w:val="24"/>
              </w:rPr>
            </w:pPr>
          </w:p>
        </w:tc>
        <w:tc>
          <w:tcPr>
            <w:tcW w:w="1865" w:type="dxa"/>
          </w:tcPr>
          <w:p w:rsidR="00817DB0" w:rsidRPr="00410808" w:rsidRDefault="00817DB0" w:rsidP="003207B3">
            <w:pPr>
              <w:rPr>
                <w:rFonts w:cs="Arial"/>
                <w:szCs w:val="24"/>
              </w:rPr>
            </w:pPr>
          </w:p>
          <w:p w:rsidR="00B45DC4" w:rsidRPr="00410808" w:rsidRDefault="00B45DC4" w:rsidP="003207B3">
            <w:pPr>
              <w:rPr>
                <w:rFonts w:cs="Arial"/>
                <w:szCs w:val="24"/>
              </w:rPr>
            </w:pPr>
            <w:r w:rsidRPr="00410808">
              <w:rPr>
                <w:rFonts w:cs="Arial"/>
                <w:szCs w:val="24"/>
              </w:rPr>
              <w:t>√</w:t>
            </w:r>
          </w:p>
          <w:p w:rsidR="003207B3" w:rsidRPr="00410808" w:rsidRDefault="003207B3" w:rsidP="00E851AA">
            <w:pPr>
              <w:rPr>
                <w:rFonts w:cs="Arial"/>
                <w:szCs w:val="24"/>
              </w:rPr>
            </w:pPr>
          </w:p>
        </w:tc>
      </w:tr>
      <w:tr w:rsidR="00817DB0" w:rsidRPr="00D14D29" w:rsidTr="0017515A">
        <w:tc>
          <w:tcPr>
            <w:tcW w:w="2024" w:type="dxa"/>
          </w:tcPr>
          <w:p w:rsidR="00817DB0" w:rsidRPr="00410808" w:rsidRDefault="00817DB0" w:rsidP="0009677B">
            <w:pPr>
              <w:rPr>
                <w:rFonts w:cs="Arial"/>
                <w:b/>
              </w:rPr>
            </w:pPr>
          </w:p>
          <w:p w:rsidR="00817DB0" w:rsidRPr="00410808" w:rsidRDefault="00817DB0" w:rsidP="0009677B">
            <w:pPr>
              <w:rPr>
                <w:rFonts w:cs="Arial"/>
                <w:b/>
              </w:rPr>
            </w:pPr>
            <w:r w:rsidRPr="00410808">
              <w:rPr>
                <w:rFonts w:cs="Arial"/>
                <w:b/>
              </w:rPr>
              <w:t>E Training/ Facility Time/ Expenses</w:t>
            </w:r>
          </w:p>
        </w:tc>
        <w:tc>
          <w:tcPr>
            <w:tcW w:w="5964" w:type="dxa"/>
          </w:tcPr>
          <w:p w:rsidR="00817DB0" w:rsidRPr="00410808" w:rsidRDefault="00817DB0" w:rsidP="0009677B">
            <w:pPr>
              <w:rPr>
                <w:rFonts w:cs="Arial"/>
                <w:i/>
                <w:sz w:val="16"/>
                <w:szCs w:val="16"/>
              </w:rPr>
            </w:pPr>
          </w:p>
          <w:p w:rsidR="00817DB0" w:rsidRPr="00410808" w:rsidRDefault="00817DB0" w:rsidP="0009677B">
            <w:pPr>
              <w:rPr>
                <w:rFonts w:cs="Arial"/>
                <w:i/>
                <w:szCs w:val="24"/>
              </w:rPr>
            </w:pPr>
            <w:r w:rsidRPr="00410808">
              <w:rPr>
                <w:rFonts w:cs="Arial"/>
                <w:i/>
                <w:szCs w:val="24"/>
              </w:rPr>
              <w:t>(a) that in relation to the way in which statutory and related decisions are taken by the administering authority, there is a clear policy on training, facility time and reimbursement of expenses in respect of members involved in the decision-making process.</w:t>
            </w:r>
          </w:p>
          <w:p w:rsidR="00817DB0" w:rsidRPr="00410808" w:rsidRDefault="00817DB0" w:rsidP="0009677B">
            <w:pPr>
              <w:rPr>
                <w:rFonts w:cs="Arial"/>
                <w:i/>
                <w:szCs w:val="24"/>
              </w:rPr>
            </w:pPr>
          </w:p>
          <w:p w:rsidR="00817DB0" w:rsidRPr="00410808" w:rsidRDefault="00817DB0" w:rsidP="0009677B">
            <w:pPr>
              <w:rPr>
                <w:rFonts w:cs="Arial"/>
                <w:i/>
                <w:szCs w:val="24"/>
              </w:rPr>
            </w:pPr>
            <w:r w:rsidRPr="00410808">
              <w:rPr>
                <w:rFonts w:cs="Arial"/>
                <w:i/>
                <w:szCs w:val="24"/>
              </w:rPr>
              <w:t xml:space="preserve">(b) that where such a policy exists, it applies equally to all members of committees, sub-committees, advisory panels or any other form of secondary forum. </w:t>
            </w:r>
          </w:p>
          <w:p w:rsidR="00817DB0" w:rsidRPr="00410808" w:rsidRDefault="00817DB0" w:rsidP="0009677B">
            <w:pPr>
              <w:rPr>
                <w:rFonts w:cs="Arial"/>
                <w:i/>
                <w:sz w:val="16"/>
                <w:szCs w:val="16"/>
              </w:rPr>
            </w:pPr>
          </w:p>
        </w:tc>
        <w:tc>
          <w:tcPr>
            <w:tcW w:w="1865" w:type="dxa"/>
          </w:tcPr>
          <w:p w:rsidR="00817DB0" w:rsidRPr="00410808" w:rsidRDefault="00817DB0" w:rsidP="003207B3">
            <w:pPr>
              <w:rPr>
                <w:rFonts w:cs="Arial"/>
                <w:szCs w:val="24"/>
              </w:rPr>
            </w:pPr>
          </w:p>
          <w:p w:rsidR="00B45DC4" w:rsidRPr="00410808" w:rsidRDefault="00B45DC4" w:rsidP="003207B3">
            <w:pPr>
              <w:rPr>
                <w:rFonts w:cs="Arial"/>
                <w:szCs w:val="24"/>
              </w:rPr>
            </w:pPr>
            <w:r w:rsidRPr="00410808">
              <w:rPr>
                <w:rFonts w:cs="Arial"/>
                <w:szCs w:val="24"/>
              </w:rPr>
              <w:t>√</w:t>
            </w:r>
          </w:p>
          <w:p w:rsidR="00B45DC4" w:rsidRPr="00410808" w:rsidRDefault="00B45DC4" w:rsidP="003207B3">
            <w:pPr>
              <w:rPr>
                <w:rFonts w:cs="Arial"/>
                <w:szCs w:val="24"/>
              </w:rPr>
            </w:pPr>
          </w:p>
          <w:p w:rsidR="00B45DC4" w:rsidRPr="00410808" w:rsidRDefault="00B45DC4" w:rsidP="003207B3">
            <w:pPr>
              <w:rPr>
                <w:rFonts w:cs="Arial"/>
                <w:szCs w:val="24"/>
              </w:rPr>
            </w:pPr>
          </w:p>
          <w:p w:rsidR="00E41639" w:rsidRPr="00410808" w:rsidRDefault="00E41639" w:rsidP="003207B3">
            <w:pPr>
              <w:rPr>
                <w:rFonts w:cs="Arial"/>
                <w:szCs w:val="24"/>
              </w:rPr>
            </w:pPr>
          </w:p>
          <w:p w:rsidR="00E41639" w:rsidRPr="00410808" w:rsidRDefault="00E41639" w:rsidP="003207B3">
            <w:pPr>
              <w:rPr>
                <w:rFonts w:cs="Arial"/>
                <w:szCs w:val="24"/>
              </w:rPr>
            </w:pPr>
          </w:p>
          <w:p w:rsidR="00E41639" w:rsidRPr="00410808" w:rsidRDefault="00E41639" w:rsidP="003207B3">
            <w:pPr>
              <w:rPr>
                <w:rFonts w:cs="Arial"/>
                <w:szCs w:val="24"/>
              </w:rPr>
            </w:pPr>
          </w:p>
          <w:p w:rsidR="00B45DC4" w:rsidRPr="00410808" w:rsidRDefault="00B45DC4" w:rsidP="003207B3">
            <w:pPr>
              <w:rPr>
                <w:rFonts w:cs="Arial"/>
                <w:szCs w:val="24"/>
              </w:rPr>
            </w:pPr>
            <w:r w:rsidRPr="00410808">
              <w:rPr>
                <w:rFonts w:cs="Arial"/>
                <w:szCs w:val="24"/>
              </w:rPr>
              <w:t>√</w:t>
            </w:r>
          </w:p>
        </w:tc>
      </w:tr>
      <w:tr w:rsidR="00817DB0" w:rsidRPr="00D14D29" w:rsidTr="0017515A">
        <w:tc>
          <w:tcPr>
            <w:tcW w:w="2024" w:type="dxa"/>
          </w:tcPr>
          <w:p w:rsidR="00817DB0" w:rsidRPr="00410808" w:rsidRDefault="00817DB0" w:rsidP="0009677B">
            <w:pPr>
              <w:rPr>
                <w:rFonts w:cs="Arial"/>
                <w:b/>
              </w:rPr>
            </w:pPr>
          </w:p>
          <w:p w:rsidR="00817DB0" w:rsidRPr="00410808" w:rsidRDefault="00817DB0" w:rsidP="0009677B">
            <w:pPr>
              <w:rPr>
                <w:rFonts w:cs="Arial"/>
                <w:b/>
              </w:rPr>
            </w:pPr>
            <w:r w:rsidRPr="00410808">
              <w:rPr>
                <w:rFonts w:cs="Arial"/>
                <w:b/>
              </w:rPr>
              <w:t>F Meetings – Frequency</w:t>
            </w:r>
          </w:p>
        </w:tc>
        <w:tc>
          <w:tcPr>
            <w:tcW w:w="5964" w:type="dxa"/>
          </w:tcPr>
          <w:p w:rsidR="00817DB0" w:rsidRPr="00410808" w:rsidRDefault="00817DB0" w:rsidP="0009677B">
            <w:pPr>
              <w:rPr>
                <w:rFonts w:cs="Arial"/>
                <w:i/>
                <w:sz w:val="16"/>
                <w:szCs w:val="16"/>
              </w:rPr>
            </w:pPr>
          </w:p>
          <w:p w:rsidR="00817DB0" w:rsidRPr="00410808" w:rsidRDefault="00817DB0" w:rsidP="0009677B">
            <w:pPr>
              <w:rPr>
                <w:rFonts w:cs="Arial"/>
                <w:i/>
                <w:szCs w:val="24"/>
              </w:rPr>
            </w:pPr>
            <w:r w:rsidRPr="00410808">
              <w:rPr>
                <w:rFonts w:cs="Arial"/>
                <w:i/>
                <w:szCs w:val="24"/>
              </w:rPr>
              <w:t>(a) that an administering authority’s main committee or committees meet at least quarterly.</w:t>
            </w:r>
          </w:p>
          <w:p w:rsidR="00817DB0" w:rsidRPr="00410808" w:rsidRDefault="00817DB0" w:rsidP="0009677B">
            <w:pPr>
              <w:rPr>
                <w:rFonts w:cs="Arial"/>
                <w:i/>
                <w:szCs w:val="24"/>
              </w:rPr>
            </w:pPr>
          </w:p>
          <w:p w:rsidR="00817DB0" w:rsidRPr="00410808" w:rsidRDefault="00817DB0" w:rsidP="0009677B">
            <w:pPr>
              <w:rPr>
                <w:rFonts w:cs="Arial"/>
                <w:i/>
                <w:szCs w:val="24"/>
              </w:rPr>
            </w:pPr>
            <w:r w:rsidRPr="00410808">
              <w:rPr>
                <w:rFonts w:cs="Arial"/>
                <w:i/>
                <w:szCs w:val="24"/>
              </w:rPr>
              <w:t>(b) that an administering authority’s secondary committee or panel meet at least twice a year and is synchronised with the dates when the main committee sits.</w:t>
            </w:r>
          </w:p>
          <w:p w:rsidR="00817DB0" w:rsidRPr="00410808" w:rsidRDefault="00817DB0" w:rsidP="0009677B">
            <w:pPr>
              <w:rPr>
                <w:rFonts w:cs="Arial"/>
                <w:i/>
                <w:szCs w:val="24"/>
              </w:rPr>
            </w:pPr>
          </w:p>
          <w:p w:rsidR="00817DB0" w:rsidRPr="00410808" w:rsidRDefault="00817DB0" w:rsidP="0009677B">
            <w:pPr>
              <w:rPr>
                <w:rFonts w:cs="Arial"/>
                <w:i/>
                <w:szCs w:val="24"/>
              </w:rPr>
            </w:pPr>
            <w:r w:rsidRPr="00410808">
              <w:rPr>
                <w:rFonts w:cs="Arial"/>
                <w:i/>
                <w:szCs w:val="24"/>
              </w:rPr>
              <w:t>(c) that administering authorities who do not include lay members in their formal governance arrangements, provide a forum outside of those arrangements by which the interests of key stakeholders can be represented.</w:t>
            </w:r>
          </w:p>
          <w:p w:rsidR="00817DB0" w:rsidRPr="00410808" w:rsidRDefault="00817DB0" w:rsidP="0009677B">
            <w:pPr>
              <w:rPr>
                <w:rFonts w:cs="Arial"/>
                <w:i/>
                <w:sz w:val="16"/>
                <w:szCs w:val="16"/>
              </w:rPr>
            </w:pPr>
          </w:p>
        </w:tc>
        <w:tc>
          <w:tcPr>
            <w:tcW w:w="1865" w:type="dxa"/>
          </w:tcPr>
          <w:p w:rsidR="00817DB0" w:rsidRPr="00410808" w:rsidRDefault="00817DB0" w:rsidP="003207B3">
            <w:pPr>
              <w:rPr>
                <w:rFonts w:cs="Arial"/>
                <w:szCs w:val="24"/>
              </w:rPr>
            </w:pPr>
          </w:p>
          <w:p w:rsidR="00B45DC4" w:rsidRPr="00410808" w:rsidRDefault="00B45DC4" w:rsidP="003207B3">
            <w:pPr>
              <w:rPr>
                <w:rFonts w:cs="Arial"/>
                <w:szCs w:val="24"/>
              </w:rPr>
            </w:pPr>
            <w:r w:rsidRPr="00410808">
              <w:rPr>
                <w:rFonts w:cs="Arial"/>
                <w:szCs w:val="24"/>
              </w:rPr>
              <w:t>√</w:t>
            </w:r>
          </w:p>
          <w:p w:rsidR="00817DB0" w:rsidRPr="00410808" w:rsidRDefault="00817DB0" w:rsidP="003207B3">
            <w:pPr>
              <w:rPr>
                <w:rFonts w:cs="Arial"/>
                <w:szCs w:val="24"/>
              </w:rPr>
            </w:pPr>
          </w:p>
          <w:p w:rsidR="00817DB0" w:rsidRPr="00410808" w:rsidRDefault="00817DB0" w:rsidP="003207B3">
            <w:pPr>
              <w:rPr>
                <w:rFonts w:cs="Arial"/>
                <w:szCs w:val="24"/>
              </w:rPr>
            </w:pPr>
          </w:p>
          <w:p w:rsidR="00B45DC4" w:rsidRPr="00410808" w:rsidRDefault="00B45DC4" w:rsidP="003207B3">
            <w:pPr>
              <w:rPr>
                <w:rFonts w:cs="Arial"/>
                <w:szCs w:val="24"/>
              </w:rPr>
            </w:pPr>
            <w:r w:rsidRPr="00410808">
              <w:rPr>
                <w:rFonts w:cs="Arial"/>
                <w:szCs w:val="24"/>
              </w:rPr>
              <w:t>√</w:t>
            </w:r>
          </w:p>
          <w:p w:rsidR="00B45DC4" w:rsidRPr="00410808" w:rsidRDefault="00B45DC4" w:rsidP="003207B3">
            <w:pPr>
              <w:rPr>
                <w:rFonts w:cs="Arial"/>
                <w:szCs w:val="24"/>
              </w:rPr>
            </w:pPr>
          </w:p>
          <w:p w:rsidR="00E41639" w:rsidRPr="00410808" w:rsidRDefault="00E41639" w:rsidP="003207B3">
            <w:pPr>
              <w:rPr>
                <w:rFonts w:cs="Arial"/>
                <w:szCs w:val="24"/>
              </w:rPr>
            </w:pPr>
          </w:p>
          <w:p w:rsidR="00E41639" w:rsidRPr="00410808" w:rsidRDefault="00E41639" w:rsidP="003207B3">
            <w:pPr>
              <w:rPr>
                <w:rFonts w:cs="Arial"/>
                <w:szCs w:val="24"/>
              </w:rPr>
            </w:pPr>
          </w:p>
          <w:p w:rsidR="00B45DC4" w:rsidRPr="00410808" w:rsidRDefault="00B45DC4" w:rsidP="003207B3">
            <w:pPr>
              <w:rPr>
                <w:rFonts w:cs="Arial"/>
                <w:szCs w:val="24"/>
              </w:rPr>
            </w:pPr>
          </w:p>
          <w:p w:rsidR="00B45DC4" w:rsidRPr="00410808" w:rsidRDefault="00B45DC4" w:rsidP="003207B3">
            <w:pPr>
              <w:rPr>
                <w:rFonts w:cs="Arial"/>
                <w:szCs w:val="24"/>
              </w:rPr>
            </w:pPr>
            <w:r w:rsidRPr="00410808">
              <w:rPr>
                <w:rFonts w:cs="Arial"/>
                <w:szCs w:val="24"/>
              </w:rPr>
              <w:t>√</w:t>
            </w:r>
          </w:p>
        </w:tc>
      </w:tr>
    </w:tbl>
    <w:p w:rsidR="0017515A" w:rsidRPr="00D14D29" w:rsidRDefault="0017515A">
      <w:pPr>
        <w:rPr>
          <w:highlight w:val="yellow"/>
        </w:rPr>
      </w:pPr>
      <w:r w:rsidRPr="00D14D29">
        <w:rPr>
          <w:highlight w:val="yellow"/>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24"/>
        <w:gridCol w:w="5964"/>
        <w:gridCol w:w="1865"/>
      </w:tblGrid>
      <w:tr w:rsidR="00817DB0" w:rsidRPr="00410808" w:rsidTr="0017515A">
        <w:tc>
          <w:tcPr>
            <w:tcW w:w="2024" w:type="dxa"/>
          </w:tcPr>
          <w:p w:rsidR="00817DB0" w:rsidRPr="00410808" w:rsidRDefault="00817DB0" w:rsidP="0009677B">
            <w:pPr>
              <w:rPr>
                <w:rFonts w:cs="Arial"/>
                <w:b/>
              </w:rPr>
            </w:pPr>
          </w:p>
          <w:p w:rsidR="00817DB0" w:rsidRPr="00410808" w:rsidRDefault="00817DB0" w:rsidP="0009677B">
            <w:pPr>
              <w:rPr>
                <w:rFonts w:cs="Arial"/>
                <w:b/>
              </w:rPr>
            </w:pPr>
            <w:r w:rsidRPr="00410808">
              <w:rPr>
                <w:rFonts w:cs="Arial"/>
                <w:b/>
              </w:rPr>
              <w:t>G Access</w:t>
            </w:r>
          </w:p>
        </w:tc>
        <w:tc>
          <w:tcPr>
            <w:tcW w:w="5964" w:type="dxa"/>
          </w:tcPr>
          <w:p w:rsidR="00817DB0" w:rsidRPr="00410808" w:rsidRDefault="00817DB0" w:rsidP="0009677B">
            <w:pPr>
              <w:rPr>
                <w:rFonts w:cs="Arial"/>
                <w:i/>
                <w:szCs w:val="24"/>
              </w:rPr>
            </w:pPr>
          </w:p>
          <w:p w:rsidR="00817DB0" w:rsidRPr="00410808" w:rsidRDefault="00817DB0" w:rsidP="0009677B">
            <w:pPr>
              <w:rPr>
                <w:rFonts w:cs="Arial"/>
                <w:i/>
                <w:szCs w:val="24"/>
              </w:rPr>
            </w:pPr>
            <w:r w:rsidRPr="00410808">
              <w:rPr>
                <w:rFonts w:cs="Arial"/>
                <w:i/>
                <w:szCs w:val="24"/>
              </w:rPr>
              <w:t>(a) that subject to any rules in the council’s constitution, all members of main and secondary committees or panels have equal access to committee papers, documents and advice that falls to be considered at meetings of the main committee.</w:t>
            </w:r>
          </w:p>
          <w:p w:rsidR="00817DB0" w:rsidRPr="00410808" w:rsidRDefault="00817DB0" w:rsidP="0009677B">
            <w:pPr>
              <w:rPr>
                <w:rFonts w:cs="Arial"/>
                <w:i/>
                <w:szCs w:val="24"/>
              </w:rPr>
            </w:pPr>
          </w:p>
        </w:tc>
        <w:tc>
          <w:tcPr>
            <w:tcW w:w="1865" w:type="dxa"/>
          </w:tcPr>
          <w:p w:rsidR="00817DB0" w:rsidRPr="00410808" w:rsidRDefault="00817DB0" w:rsidP="003207B3">
            <w:pPr>
              <w:rPr>
                <w:rFonts w:cs="Arial"/>
                <w:szCs w:val="24"/>
              </w:rPr>
            </w:pPr>
          </w:p>
          <w:p w:rsidR="00B45DC4" w:rsidRPr="00410808" w:rsidRDefault="00B45DC4" w:rsidP="003207B3">
            <w:pPr>
              <w:rPr>
                <w:rFonts w:cs="Arial"/>
                <w:szCs w:val="24"/>
              </w:rPr>
            </w:pPr>
            <w:r w:rsidRPr="00410808">
              <w:rPr>
                <w:rFonts w:cs="Arial"/>
                <w:szCs w:val="24"/>
              </w:rPr>
              <w:t>√</w:t>
            </w:r>
          </w:p>
        </w:tc>
      </w:tr>
      <w:tr w:rsidR="00817DB0" w:rsidRPr="00410808" w:rsidTr="0017515A">
        <w:tc>
          <w:tcPr>
            <w:tcW w:w="2024" w:type="dxa"/>
          </w:tcPr>
          <w:p w:rsidR="00817DB0" w:rsidRPr="00410808" w:rsidRDefault="00817DB0" w:rsidP="0009677B">
            <w:pPr>
              <w:rPr>
                <w:rFonts w:cs="Arial"/>
                <w:b/>
              </w:rPr>
            </w:pPr>
          </w:p>
          <w:p w:rsidR="00817DB0" w:rsidRPr="00410808" w:rsidRDefault="00817DB0" w:rsidP="0009677B">
            <w:pPr>
              <w:rPr>
                <w:rFonts w:cs="Arial"/>
                <w:b/>
              </w:rPr>
            </w:pPr>
            <w:r w:rsidRPr="00410808">
              <w:rPr>
                <w:rFonts w:cs="Arial"/>
                <w:b/>
              </w:rPr>
              <w:t>H Scope</w:t>
            </w:r>
          </w:p>
        </w:tc>
        <w:tc>
          <w:tcPr>
            <w:tcW w:w="5964" w:type="dxa"/>
          </w:tcPr>
          <w:p w:rsidR="00817DB0" w:rsidRPr="00410808" w:rsidRDefault="00817DB0" w:rsidP="0009677B">
            <w:pPr>
              <w:rPr>
                <w:rFonts w:cs="Arial"/>
                <w:i/>
                <w:szCs w:val="24"/>
              </w:rPr>
            </w:pPr>
          </w:p>
          <w:p w:rsidR="00817DB0" w:rsidRPr="00410808" w:rsidRDefault="00817DB0" w:rsidP="0009677B">
            <w:pPr>
              <w:rPr>
                <w:rFonts w:cs="Arial"/>
                <w:i/>
                <w:szCs w:val="24"/>
              </w:rPr>
            </w:pPr>
            <w:r w:rsidRPr="00410808">
              <w:rPr>
                <w:rFonts w:cs="Arial"/>
                <w:i/>
                <w:szCs w:val="24"/>
              </w:rPr>
              <w:t>(a) that administering authorities have taken steps to bring wider scheme issues within the scope of their governance arrangements.</w:t>
            </w:r>
          </w:p>
          <w:p w:rsidR="00817DB0" w:rsidRPr="00410808" w:rsidRDefault="00817DB0" w:rsidP="0009677B">
            <w:pPr>
              <w:rPr>
                <w:rFonts w:cs="Arial"/>
                <w:szCs w:val="24"/>
              </w:rPr>
            </w:pPr>
          </w:p>
        </w:tc>
        <w:tc>
          <w:tcPr>
            <w:tcW w:w="1865" w:type="dxa"/>
          </w:tcPr>
          <w:p w:rsidR="00817DB0" w:rsidRPr="00410808" w:rsidRDefault="00817DB0" w:rsidP="003207B3">
            <w:pPr>
              <w:rPr>
                <w:rFonts w:cs="Arial"/>
                <w:szCs w:val="24"/>
              </w:rPr>
            </w:pPr>
          </w:p>
          <w:p w:rsidR="00B45DC4" w:rsidRPr="00410808" w:rsidRDefault="00B45DC4" w:rsidP="003207B3">
            <w:pPr>
              <w:rPr>
                <w:rFonts w:cs="Arial"/>
                <w:szCs w:val="24"/>
              </w:rPr>
            </w:pPr>
            <w:r w:rsidRPr="00410808">
              <w:rPr>
                <w:rFonts w:cs="Arial"/>
                <w:szCs w:val="24"/>
              </w:rPr>
              <w:t>√</w:t>
            </w:r>
          </w:p>
          <w:p w:rsidR="003207B3" w:rsidRPr="00410808" w:rsidRDefault="003207B3" w:rsidP="00E851AA">
            <w:pPr>
              <w:rPr>
                <w:rFonts w:cs="Arial"/>
                <w:szCs w:val="24"/>
              </w:rPr>
            </w:pPr>
          </w:p>
        </w:tc>
      </w:tr>
      <w:tr w:rsidR="00817DB0" w:rsidRPr="00410808" w:rsidTr="0017515A">
        <w:tc>
          <w:tcPr>
            <w:tcW w:w="2024" w:type="dxa"/>
          </w:tcPr>
          <w:p w:rsidR="00817DB0" w:rsidRPr="00410808" w:rsidRDefault="00817DB0" w:rsidP="0009677B">
            <w:pPr>
              <w:rPr>
                <w:rFonts w:cs="Arial"/>
                <w:b/>
              </w:rPr>
            </w:pPr>
          </w:p>
          <w:p w:rsidR="00817DB0" w:rsidRPr="00410808" w:rsidRDefault="00817DB0" w:rsidP="0009677B">
            <w:pPr>
              <w:rPr>
                <w:rFonts w:cs="Arial"/>
                <w:b/>
              </w:rPr>
            </w:pPr>
            <w:r w:rsidRPr="00410808">
              <w:rPr>
                <w:rFonts w:cs="Arial"/>
                <w:b/>
              </w:rPr>
              <w:t>I Publicity</w:t>
            </w:r>
          </w:p>
        </w:tc>
        <w:tc>
          <w:tcPr>
            <w:tcW w:w="5964" w:type="dxa"/>
          </w:tcPr>
          <w:p w:rsidR="00817DB0" w:rsidRPr="00410808" w:rsidRDefault="00817DB0" w:rsidP="0009677B">
            <w:pPr>
              <w:rPr>
                <w:rFonts w:cs="Arial"/>
                <w:i/>
                <w:szCs w:val="24"/>
              </w:rPr>
            </w:pPr>
          </w:p>
          <w:p w:rsidR="00817DB0" w:rsidRPr="00410808" w:rsidRDefault="00817DB0" w:rsidP="003B412F">
            <w:pPr>
              <w:rPr>
                <w:rFonts w:cs="Arial"/>
                <w:i/>
                <w:szCs w:val="24"/>
              </w:rPr>
            </w:pPr>
            <w:r w:rsidRPr="00410808">
              <w:rPr>
                <w:rFonts w:cs="Arial"/>
                <w:i/>
                <w:szCs w:val="24"/>
              </w:rPr>
              <w:t>(a) that administering authorities have published details of their governance arrangements in such a way that stakeholders with an interest in the way in which the scheme is governed can express an interest in wanting to be part of those arrangements.</w:t>
            </w:r>
          </w:p>
        </w:tc>
        <w:tc>
          <w:tcPr>
            <w:tcW w:w="1865" w:type="dxa"/>
          </w:tcPr>
          <w:p w:rsidR="00817DB0" w:rsidRPr="00410808" w:rsidRDefault="00817DB0" w:rsidP="0009677B">
            <w:pPr>
              <w:rPr>
                <w:rFonts w:cs="Arial"/>
                <w:szCs w:val="24"/>
              </w:rPr>
            </w:pPr>
          </w:p>
          <w:p w:rsidR="003207B3" w:rsidRPr="00410808" w:rsidRDefault="00B45DC4" w:rsidP="00E851AA">
            <w:pPr>
              <w:rPr>
                <w:rFonts w:cs="Arial"/>
                <w:szCs w:val="24"/>
              </w:rPr>
            </w:pPr>
            <w:r w:rsidRPr="00410808">
              <w:rPr>
                <w:rFonts w:cs="Arial"/>
                <w:szCs w:val="24"/>
              </w:rPr>
              <w:t>√</w:t>
            </w:r>
          </w:p>
        </w:tc>
      </w:tr>
    </w:tbl>
    <w:p w:rsidR="009249B1" w:rsidRPr="00410808" w:rsidRDefault="009249B1" w:rsidP="004362BE">
      <w:pPr>
        <w:pStyle w:val="Heading1"/>
        <w:spacing w:before="0" w:after="0"/>
        <w:rPr>
          <w:b w:val="0"/>
          <w:snapToGrid w:val="0"/>
          <w:color w:val="000000"/>
          <w:kern w:val="0"/>
          <w:lang w:eastAsia="en-US"/>
        </w:rPr>
      </w:pPr>
    </w:p>
    <w:p w:rsidR="004362BE" w:rsidRPr="00410808" w:rsidRDefault="00F66AF6" w:rsidP="004362BE">
      <w:pPr>
        <w:pStyle w:val="Heading1"/>
        <w:spacing w:before="0" w:after="0"/>
        <w:rPr>
          <w:snapToGrid w:val="0"/>
          <w:color w:val="000000"/>
          <w:kern w:val="0"/>
          <w:sz w:val="24"/>
          <w:szCs w:val="24"/>
          <w:lang w:eastAsia="en-US"/>
        </w:rPr>
      </w:pPr>
      <w:r>
        <w:rPr>
          <w:snapToGrid w:val="0"/>
          <w:color w:val="000000"/>
          <w:kern w:val="0"/>
          <w:sz w:val="24"/>
          <w:szCs w:val="24"/>
          <w:lang w:eastAsia="en-US"/>
        </w:rPr>
        <w:t xml:space="preserve">Lancashire </w:t>
      </w:r>
      <w:r w:rsidR="004362BE" w:rsidRPr="00410808">
        <w:rPr>
          <w:snapToGrid w:val="0"/>
          <w:color w:val="000000"/>
          <w:kern w:val="0"/>
          <w:sz w:val="24"/>
          <w:szCs w:val="24"/>
          <w:lang w:eastAsia="en-US"/>
        </w:rPr>
        <w:t>County Council’s Annual Governance Statement</w:t>
      </w:r>
    </w:p>
    <w:p w:rsidR="004362BE" w:rsidRPr="00410808" w:rsidRDefault="004362BE" w:rsidP="00E05C4F">
      <w:pPr>
        <w:pStyle w:val="Heading1"/>
        <w:spacing w:before="0" w:after="0"/>
        <w:jc w:val="both"/>
        <w:rPr>
          <w:b w:val="0"/>
          <w:kern w:val="0"/>
          <w:sz w:val="24"/>
        </w:rPr>
      </w:pPr>
    </w:p>
    <w:p w:rsidR="00903060" w:rsidRPr="00410808" w:rsidRDefault="00E05C4F" w:rsidP="00E05C4F">
      <w:pPr>
        <w:pStyle w:val="Heading1"/>
        <w:spacing w:before="0" w:after="0"/>
        <w:jc w:val="both"/>
        <w:rPr>
          <w:b w:val="0"/>
          <w:kern w:val="0"/>
          <w:sz w:val="24"/>
        </w:rPr>
      </w:pPr>
      <w:r w:rsidRPr="00410808">
        <w:rPr>
          <w:b w:val="0"/>
          <w:kern w:val="0"/>
          <w:sz w:val="24"/>
        </w:rPr>
        <w:t xml:space="preserve">The County Council has produced </w:t>
      </w:r>
      <w:r w:rsidR="005D170B" w:rsidRPr="00410808">
        <w:rPr>
          <w:b w:val="0"/>
          <w:kern w:val="0"/>
          <w:sz w:val="24"/>
        </w:rPr>
        <w:t xml:space="preserve">its Annual Governance Statement </w:t>
      </w:r>
      <w:r w:rsidRPr="00410808">
        <w:rPr>
          <w:b w:val="0"/>
          <w:kern w:val="0"/>
          <w:sz w:val="24"/>
        </w:rPr>
        <w:t xml:space="preserve">for </w:t>
      </w:r>
      <w:r w:rsidR="007D1211" w:rsidRPr="00410808">
        <w:rPr>
          <w:b w:val="0"/>
          <w:kern w:val="0"/>
          <w:sz w:val="24"/>
        </w:rPr>
        <w:t>20</w:t>
      </w:r>
      <w:r w:rsidR="00E41697" w:rsidRPr="00410808">
        <w:rPr>
          <w:b w:val="0"/>
          <w:kern w:val="0"/>
          <w:sz w:val="24"/>
        </w:rPr>
        <w:t>1</w:t>
      </w:r>
      <w:r w:rsidR="00F66AF6">
        <w:rPr>
          <w:b w:val="0"/>
          <w:kern w:val="0"/>
          <w:sz w:val="24"/>
        </w:rPr>
        <w:t>1</w:t>
      </w:r>
      <w:r w:rsidR="007D1211" w:rsidRPr="00410808">
        <w:rPr>
          <w:b w:val="0"/>
          <w:kern w:val="0"/>
          <w:sz w:val="24"/>
        </w:rPr>
        <w:t>/</w:t>
      </w:r>
      <w:r w:rsidR="00903060" w:rsidRPr="00410808">
        <w:rPr>
          <w:b w:val="0"/>
          <w:kern w:val="0"/>
          <w:sz w:val="24"/>
        </w:rPr>
        <w:t>1</w:t>
      </w:r>
      <w:r w:rsidR="00F66AF6">
        <w:rPr>
          <w:b w:val="0"/>
          <w:kern w:val="0"/>
          <w:sz w:val="24"/>
        </w:rPr>
        <w:t>2</w:t>
      </w:r>
      <w:r w:rsidR="005D170B" w:rsidRPr="00410808">
        <w:rPr>
          <w:b w:val="0"/>
          <w:kern w:val="0"/>
          <w:sz w:val="24"/>
        </w:rPr>
        <w:t xml:space="preserve">. </w:t>
      </w:r>
      <w:r w:rsidRPr="00410808">
        <w:rPr>
          <w:b w:val="0"/>
          <w:kern w:val="0"/>
          <w:sz w:val="24"/>
        </w:rPr>
        <w:t xml:space="preserve">This statement </w:t>
      </w:r>
      <w:r w:rsidR="00C626E4" w:rsidRPr="00410808">
        <w:rPr>
          <w:b w:val="0"/>
          <w:kern w:val="0"/>
          <w:sz w:val="24"/>
        </w:rPr>
        <w:t>sets</w:t>
      </w:r>
      <w:r w:rsidRPr="00410808">
        <w:rPr>
          <w:b w:val="0"/>
          <w:kern w:val="0"/>
          <w:sz w:val="24"/>
        </w:rPr>
        <w:t xml:space="preserve"> out assurances on the </w:t>
      </w:r>
      <w:r w:rsidR="00C9352E" w:rsidRPr="00410808">
        <w:rPr>
          <w:b w:val="0"/>
          <w:kern w:val="0"/>
          <w:sz w:val="24"/>
        </w:rPr>
        <w:t>County Council</w:t>
      </w:r>
      <w:r w:rsidR="00561214" w:rsidRPr="00410808">
        <w:rPr>
          <w:b w:val="0"/>
          <w:kern w:val="0"/>
          <w:sz w:val="24"/>
        </w:rPr>
        <w:t>’</w:t>
      </w:r>
      <w:r w:rsidR="00C9352E" w:rsidRPr="00410808">
        <w:rPr>
          <w:b w:val="0"/>
          <w:kern w:val="0"/>
          <w:sz w:val="24"/>
        </w:rPr>
        <w:t xml:space="preserve">s </w:t>
      </w:r>
      <w:r w:rsidRPr="00410808">
        <w:rPr>
          <w:b w:val="0"/>
          <w:kern w:val="0"/>
          <w:sz w:val="24"/>
        </w:rPr>
        <w:t>governance arrangements, internal control and the way the County Council manages its affairs.</w:t>
      </w:r>
    </w:p>
    <w:p w:rsidR="00903060" w:rsidRPr="00410808" w:rsidRDefault="00903060" w:rsidP="00E05C4F">
      <w:pPr>
        <w:pStyle w:val="Heading1"/>
        <w:spacing w:before="0" w:after="0"/>
        <w:jc w:val="both"/>
        <w:rPr>
          <w:b w:val="0"/>
          <w:kern w:val="0"/>
          <w:sz w:val="24"/>
        </w:rPr>
      </w:pPr>
    </w:p>
    <w:p w:rsidR="00E41639" w:rsidRPr="00410808" w:rsidRDefault="00E05C4F" w:rsidP="00D20F06">
      <w:pPr>
        <w:pStyle w:val="Heading1"/>
        <w:spacing w:before="0" w:after="0"/>
        <w:jc w:val="both"/>
        <w:rPr>
          <w:lang w:eastAsia="en-US"/>
        </w:rPr>
      </w:pPr>
      <w:r w:rsidRPr="00410808">
        <w:rPr>
          <w:b w:val="0"/>
          <w:kern w:val="0"/>
          <w:sz w:val="24"/>
        </w:rPr>
        <w:t>As the County Council is responsible for the administration of the Pension Fund</w:t>
      </w:r>
      <w:r w:rsidR="00561214" w:rsidRPr="00410808">
        <w:rPr>
          <w:b w:val="0"/>
          <w:kern w:val="0"/>
          <w:sz w:val="24"/>
        </w:rPr>
        <w:t>,</w:t>
      </w:r>
      <w:r w:rsidRPr="00410808">
        <w:rPr>
          <w:b w:val="0"/>
          <w:kern w:val="0"/>
          <w:sz w:val="24"/>
        </w:rPr>
        <w:t xml:space="preserve"> including </w:t>
      </w:r>
      <w:r w:rsidR="00E41639" w:rsidRPr="00410808">
        <w:rPr>
          <w:b w:val="0"/>
          <w:kern w:val="0"/>
          <w:sz w:val="24"/>
        </w:rPr>
        <w:t xml:space="preserve">the </w:t>
      </w:r>
      <w:r w:rsidR="00561214" w:rsidRPr="00410808">
        <w:rPr>
          <w:b w:val="0"/>
          <w:kern w:val="0"/>
          <w:sz w:val="24"/>
        </w:rPr>
        <w:t>p</w:t>
      </w:r>
      <w:r w:rsidR="00C9352E" w:rsidRPr="00410808">
        <w:rPr>
          <w:b w:val="0"/>
          <w:kern w:val="0"/>
          <w:sz w:val="24"/>
        </w:rPr>
        <w:t>rovision of s</w:t>
      </w:r>
      <w:r w:rsidRPr="00410808">
        <w:rPr>
          <w:b w:val="0"/>
          <w:kern w:val="0"/>
          <w:sz w:val="24"/>
        </w:rPr>
        <w:t>ystems, controls and governance</w:t>
      </w:r>
      <w:r w:rsidR="00C626E4" w:rsidRPr="00410808">
        <w:rPr>
          <w:b w:val="0"/>
          <w:kern w:val="0"/>
          <w:sz w:val="24"/>
        </w:rPr>
        <w:t xml:space="preserve"> and </w:t>
      </w:r>
      <w:r w:rsidRPr="00410808">
        <w:rPr>
          <w:b w:val="0"/>
          <w:kern w:val="0"/>
          <w:sz w:val="24"/>
        </w:rPr>
        <w:t>this statement embraces the activities of the Pension Fund</w:t>
      </w:r>
      <w:r w:rsidR="00EA6856" w:rsidRPr="00410808">
        <w:rPr>
          <w:b w:val="0"/>
          <w:kern w:val="0"/>
          <w:sz w:val="24"/>
        </w:rPr>
        <w:t xml:space="preserve">.  </w:t>
      </w:r>
    </w:p>
    <w:p w:rsidR="00E05C4F" w:rsidRPr="00D14D29" w:rsidRDefault="00E05C4F" w:rsidP="00E05C4F">
      <w:pPr>
        <w:rPr>
          <w:highlight w:val="yellow"/>
        </w:rPr>
      </w:pPr>
    </w:p>
    <w:p w:rsidR="00FC5EDB" w:rsidRPr="0094587C" w:rsidRDefault="003B412F" w:rsidP="00011588">
      <w:pPr>
        <w:pStyle w:val="Heading1"/>
        <w:numPr>
          <w:ilvl w:val="0"/>
          <w:numId w:val="10"/>
        </w:numPr>
        <w:spacing w:before="0" w:after="0"/>
        <w:rPr>
          <w:caps/>
          <w:snapToGrid w:val="0"/>
          <w:color w:val="000000"/>
          <w:kern w:val="0"/>
          <w:lang w:eastAsia="en-US"/>
        </w:rPr>
      </w:pPr>
      <w:r w:rsidRPr="00D14D29">
        <w:rPr>
          <w:snapToGrid w:val="0"/>
          <w:color w:val="000000"/>
          <w:kern w:val="0"/>
          <w:highlight w:val="yellow"/>
          <w:lang w:eastAsia="en-US"/>
        </w:rPr>
        <w:br w:type="page"/>
      </w:r>
      <w:r w:rsidR="00FC5EDB" w:rsidRPr="0094587C">
        <w:rPr>
          <w:snapToGrid w:val="0"/>
          <w:color w:val="000000"/>
          <w:kern w:val="0"/>
          <w:lang w:eastAsia="en-US"/>
        </w:rPr>
        <w:lastRenderedPageBreak/>
        <w:t>Administration of the Pension Fund</w:t>
      </w:r>
    </w:p>
    <w:p w:rsidR="00FC5EDB" w:rsidRPr="0094587C" w:rsidRDefault="00FC5EDB">
      <w:pPr>
        <w:pStyle w:val="Header"/>
        <w:rPr>
          <w:color w:val="0000FF"/>
        </w:rPr>
      </w:pPr>
    </w:p>
    <w:p w:rsidR="0092190C" w:rsidRPr="00B4337E" w:rsidRDefault="0092190C" w:rsidP="0092190C">
      <w:pPr>
        <w:pStyle w:val="Header"/>
        <w:rPr>
          <w:b/>
        </w:rPr>
      </w:pPr>
      <w:r w:rsidRPr="00B4337E">
        <w:rPr>
          <w:b/>
        </w:rPr>
        <w:t>Overview</w:t>
      </w:r>
    </w:p>
    <w:p w:rsidR="0092190C" w:rsidRPr="00B4337E" w:rsidRDefault="0092190C" w:rsidP="0092190C">
      <w:pPr>
        <w:pStyle w:val="Header"/>
        <w:rPr>
          <w:b/>
        </w:rPr>
      </w:pPr>
    </w:p>
    <w:p w:rsidR="0092190C" w:rsidRPr="00B4337E" w:rsidRDefault="0092190C" w:rsidP="0092190C">
      <w:pPr>
        <w:jc w:val="both"/>
      </w:pPr>
      <w:r w:rsidRPr="00B4337E">
        <w:t xml:space="preserve">The Local Government Pension Scheme is a statutory </w:t>
      </w:r>
      <w:r>
        <w:t xml:space="preserve">public sector </w:t>
      </w:r>
      <w:r w:rsidRPr="00B4337E">
        <w:t xml:space="preserve">pension scheme, and operates on a “defined benefit basis”.  Lancashire County Council </w:t>
      </w:r>
      <w:r>
        <w:t xml:space="preserve">as 'Administering Authority' </w:t>
      </w:r>
      <w:r w:rsidRPr="00B4337E">
        <w:t>is required by law to administer the Scheme within the geographical area of Lancashire.</w:t>
      </w:r>
    </w:p>
    <w:p w:rsidR="0092190C" w:rsidRPr="00B4337E" w:rsidRDefault="0092190C" w:rsidP="0092190C">
      <w:pPr>
        <w:jc w:val="both"/>
      </w:pPr>
    </w:p>
    <w:p w:rsidR="0092190C" w:rsidRPr="00B4337E" w:rsidRDefault="0092190C" w:rsidP="0092190C">
      <w:pPr>
        <w:jc w:val="both"/>
        <w:rPr>
          <w:szCs w:val="24"/>
        </w:rPr>
      </w:pPr>
      <w:r w:rsidRPr="00B4337E">
        <w:t>The County Council administers the Scheme for over 1</w:t>
      </w:r>
      <w:r>
        <w:t>50</w:t>
      </w:r>
      <w:r w:rsidRPr="00B4337E">
        <w:t xml:space="preserve"> employers (a complete list of employers is set out in Note 1 of the Notes to the Financial Statements).  These employers include organisations such as local authorities, further and higher education colleges and voluntary and charitable organisations. This includes a number of “Admitted Bodies”.  These are organisations </w:t>
      </w:r>
      <w:r w:rsidRPr="00B4337E">
        <w:rPr>
          <w:szCs w:val="24"/>
        </w:rPr>
        <w:t>that have entered into an agreement with the County Council to participate in the Fund.</w:t>
      </w:r>
    </w:p>
    <w:p w:rsidR="0092190C" w:rsidRPr="00B4337E" w:rsidRDefault="0092190C" w:rsidP="0092190C">
      <w:pPr>
        <w:jc w:val="both"/>
        <w:rPr>
          <w:szCs w:val="24"/>
        </w:rPr>
      </w:pPr>
    </w:p>
    <w:p w:rsidR="0092190C" w:rsidRDefault="0092190C" w:rsidP="0092190C">
      <w:pPr>
        <w:autoSpaceDE w:val="0"/>
        <w:autoSpaceDN w:val="0"/>
        <w:adjustRightInd w:val="0"/>
        <w:jc w:val="both"/>
        <w:rPr>
          <w:rFonts w:cs="Arial"/>
          <w:color w:val="000000"/>
          <w:szCs w:val="24"/>
        </w:rPr>
      </w:pPr>
      <w:r w:rsidRPr="00B4337E">
        <w:rPr>
          <w:rFonts w:cs="Arial"/>
          <w:color w:val="000000"/>
          <w:szCs w:val="24"/>
        </w:rPr>
        <w:t>A Service Level Agreement (SLA) is in place between Your Pension Service and the Pension Fund Committee for the provision of pension administration services and support. An Annual Administration Report is produced in accordance with the SLA and describes the performance of Your Pension Service (YPS) against the standards set out in the Agreement during the year. The Report also details events and activities undertaken by YPS over the year and sets out any Scheme specific regulatory change.</w:t>
      </w:r>
    </w:p>
    <w:p w:rsidR="0092190C" w:rsidRDefault="0092190C" w:rsidP="0092190C">
      <w:pPr>
        <w:autoSpaceDE w:val="0"/>
        <w:autoSpaceDN w:val="0"/>
        <w:adjustRightInd w:val="0"/>
        <w:jc w:val="both"/>
        <w:rPr>
          <w:rFonts w:cs="Arial"/>
          <w:color w:val="000000"/>
          <w:szCs w:val="24"/>
        </w:rPr>
      </w:pPr>
    </w:p>
    <w:p w:rsidR="00294682" w:rsidRDefault="0092190C" w:rsidP="0092190C">
      <w:pPr>
        <w:pStyle w:val="CM35"/>
        <w:spacing w:after="0" w:line="300" w:lineRule="exact"/>
        <w:rPr>
          <w:rFonts w:cs="Arial"/>
          <w:iCs/>
          <w:color w:val="000000"/>
        </w:rPr>
      </w:pPr>
      <w:r>
        <w:rPr>
          <w:rFonts w:cs="Arial"/>
          <w:iCs/>
          <w:color w:val="000000"/>
        </w:rPr>
        <w:t>The Pension Fund Administration Sub-Committee is required to e</w:t>
      </w:r>
      <w:r w:rsidRPr="00FC63C5">
        <w:rPr>
          <w:rFonts w:cs="Arial"/>
          <w:iCs/>
          <w:color w:val="000000"/>
        </w:rPr>
        <w:t xml:space="preserve">nsure that the </w:t>
      </w:r>
      <w:r>
        <w:rPr>
          <w:rFonts w:cs="Arial"/>
          <w:iCs/>
          <w:color w:val="000000"/>
        </w:rPr>
        <w:t xml:space="preserve">Pension Fund </w:t>
      </w:r>
      <w:r w:rsidRPr="00FC63C5">
        <w:rPr>
          <w:rFonts w:cs="Arial"/>
          <w:iCs/>
          <w:color w:val="000000"/>
        </w:rPr>
        <w:t xml:space="preserve">Committee’s functions as Administering Authority are discharged and </w:t>
      </w:r>
      <w:r>
        <w:rPr>
          <w:rFonts w:cs="Arial"/>
          <w:iCs/>
          <w:color w:val="000000"/>
        </w:rPr>
        <w:t xml:space="preserve">to </w:t>
      </w:r>
      <w:r w:rsidRPr="00FC63C5">
        <w:rPr>
          <w:rFonts w:cs="Arial"/>
          <w:iCs/>
          <w:color w:val="000000"/>
        </w:rPr>
        <w:t xml:space="preserve">approve </w:t>
      </w:r>
      <w:r>
        <w:rPr>
          <w:rFonts w:cs="Arial"/>
          <w:iCs/>
          <w:color w:val="000000"/>
        </w:rPr>
        <w:t xml:space="preserve">the </w:t>
      </w:r>
      <w:r w:rsidRPr="00FC63C5">
        <w:rPr>
          <w:rFonts w:cs="Arial"/>
          <w:iCs/>
          <w:color w:val="000000"/>
        </w:rPr>
        <w:t>Annual Administration Report</w:t>
      </w:r>
      <w:r w:rsidR="00294682">
        <w:rPr>
          <w:rFonts w:cs="Arial"/>
          <w:iCs/>
          <w:color w:val="000000"/>
        </w:rPr>
        <w:t xml:space="preserve">.  </w:t>
      </w:r>
      <w:hyperlink r:id="rId9" w:history="1">
        <w:r w:rsidR="00294682" w:rsidRPr="00294682">
          <w:rPr>
            <w:rStyle w:val="Hyperlink"/>
            <w:rFonts w:cs="Arial"/>
            <w:iCs/>
          </w:rPr>
          <w:t>Annual Administration Report</w:t>
        </w:r>
      </w:hyperlink>
    </w:p>
    <w:p w:rsidR="0092190C" w:rsidRPr="00AD45AE" w:rsidRDefault="0092190C" w:rsidP="0092190C">
      <w:pPr>
        <w:pStyle w:val="CM35"/>
        <w:spacing w:after="0" w:line="300" w:lineRule="exact"/>
        <w:rPr>
          <w:rFonts w:cs="Arial"/>
          <w:iCs/>
          <w:color w:val="000000"/>
        </w:rPr>
      </w:pPr>
      <w:r>
        <w:rPr>
          <w:rFonts w:cs="Arial"/>
          <w:iCs/>
          <w:color w:val="000000"/>
        </w:rPr>
        <w:t xml:space="preserve"> </w:t>
      </w:r>
      <w:r w:rsidRPr="00B4337E">
        <w:rPr>
          <w:rFonts w:cs="Arial"/>
          <w:color w:val="000000"/>
        </w:rPr>
        <w:t>A</w:t>
      </w:r>
      <w:r>
        <w:rPr>
          <w:rFonts w:cs="Arial"/>
          <w:color w:val="000000"/>
        </w:rPr>
        <w:t xml:space="preserve"> brief review of the year </w:t>
      </w:r>
      <w:r w:rsidRPr="00B4337E">
        <w:rPr>
          <w:rFonts w:cs="Arial"/>
          <w:color w:val="000000"/>
        </w:rPr>
        <w:t xml:space="preserve">is set out below. </w:t>
      </w:r>
    </w:p>
    <w:p w:rsidR="0092190C" w:rsidRPr="00B4337E" w:rsidRDefault="0092190C" w:rsidP="0092190C">
      <w:pPr>
        <w:autoSpaceDE w:val="0"/>
        <w:autoSpaceDN w:val="0"/>
        <w:adjustRightInd w:val="0"/>
        <w:jc w:val="both"/>
        <w:rPr>
          <w:rFonts w:ascii="Arial,Bold" w:hAnsi="Arial,Bold" w:cs="Arial,Bold"/>
          <w:b/>
          <w:bCs/>
          <w:color w:val="000000"/>
          <w:sz w:val="28"/>
          <w:szCs w:val="28"/>
        </w:rPr>
      </w:pPr>
    </w:p>
    <w:p w:rsidR="0092190C" w:rsidRPr="00B4337E" w:rsidRDefault="0092190C" w:rsidP="0092190C">
      <w:pPr>
        <w:autoSpaceDE w:val="0"/>
        <w:autoSpaceDN w:val="0"/>
        <w:adjustRightInd w:val="0"/>
        <w:jc w:val="both"/>
        <w:rPr>
          <w:rFonts w:ascii="Arial,Bold" w:hAnsi="Arial,Bold" w:cs="Arial,Bold"/>
          <w:b/>
          <w:bCs/>
          <w:color w:val="000000"/>
          <w:szCs w:val="24"/>
        </w:rPr>
      </w:pPr>
      <w:r>
        <w:rPr>
          <w:rFonts w:ascii="Arial,Bold" w:hAnsi="Arial,Bold" w:cs="Arial,Bold"/>
          <w:b/>
          <w:bCs/>
          <w:color w:val="000000"/>
          <w:szCs w:val="24"/>
        </w:rPr>
        <w:t xml:space="preserve">Review of the Year </w:t>
      </w:r>
    </w:p>
    <w:p w:rsidR="0092190C" w:rsidRPr="00B4337E" w:rsidRDefault="0092190C" w:rsidP="0092190C">
      <w:pPr>
        <w:autoSpaceDE w:val="0"/>
        <w:autoSpaceDN w:val="0"/>
        <w:adjustRightInd w:val="0"/>
        <w:jc w:val="both"/>
        <w:rPr>
          <w:rFonts w:ascii="Arial,Bold" w:hAnsi="Arial,Bold" w:cs="Arial,Bold"/>
          <w:b/>
          <w:bCs/>
          <w:color w:val="0A48A4"/>
          <w:szCs w:val="24"/>
        </w:rPr>
      </w:pPr>
      <w:r w:rsidRPr="00B4337E">
        <w:rPr>
          <w:rFonts w:ascii="Arial,Bold" w:hAnsi="Arial,Bold" w:cs="Arial,Bold"/>
          <w:b/>
          <w:bCs/>
          <w:color w:val="0A48A4"/>
          <w:szCs w:val="24"/>
        </w:rPr>
        <w:t xml:space="preserve"> </w:t>
      </w:r>
    </w:p>
    <w:p w:rsidR="0092190C" w:rsidRPr="00B4337E" w:rsidRDefault="0092190C" w:rsidP="0092190C">
      <w:pPr>
        <w:pStyle w:val="Default"/>
        <w:spacing w:line="300" w:lineRule="exact"/>
      </w:pPr>
      <w:r>
        <w:t>2011</w:t>
      </w:r>
      <w:r w:rsidR="00F66AF6">
        <w:t>/12</w:t>
      </w:r>
      <w:r>
        <w:t xml:space="preserve"> has been a year of change within Your Pension Service. By far the biggest development within the Service was the transfer of the Fund's pensioner payroll to an integrated pensions administration and payroll system. Savings were made as a result of this change and YPS has been able to pass these savings on to the Fund. This ensures that the Service </w:t>
      </w:r>
      <w:r w:rsidRPr="00B4337E">
        <w:t>continue</w:t>
      </w:r>
      <w:r>
        <w:t>s</w:t>
      </w:r>
      <w:r w:rsidRPr="00B4337E">
        <w:t xml:space="preserve"> to </w:t>
      </w:r>
      <w:r>
        <w:t xml:space="preserve">be </w:t>
      </w:r>
      <w:r w:rsidRPr="00B4337E">
        <w:t xml:space="preserve">cost effective with the cost of administration remaining below the Government’s key indicator.  </w:t>
      </w:r>
    </w:p>
    <w:p w:rsidR="0092190C" w:rsidRDefault="0092190C" w:rsidP="0092190C">
      <w:pPr>
        <w:pStyle w:val="Default"/>
        <w:spacing w:line="300" w:lineRule="exact"/>
      </w:pPr>
      <w:r>
        <w:t xml:space="preserve">  </w:t>
      </w:r>
    </w:p>
    <w:p w:rsidR="0092190C" w:rsidRDefault="0092190C" w:rsidP="0092190C">
      <w:pPr>
        <w:pStyle w:val="CM35"/>
        <w:spacing w:after="0" w:line="300" w:lineRule="exact"/>
        <w:rPr>
          <w:rFonts w:cs="Arial"/>
        </w:rPr>
      </w:pPr>
      <w:r>
        <w:rPr>
          <w:rFonts w:cs="Arial"/>
        </w:rPr>
        <w:t>Overall, administration performance was broadly in line with SLA targets and the Service met its key performance indicator; 'to c</w:t>
      </w:r>
      <w:r w:rsidRPr="008C27D2">
        <w:rPr>
          <w:rFonts w:cs="Arial"/>
        </w:rPr>
        <w:t>alculate and pay all retirement benefits within 10 working days</w:t>
      </w:r>
      <w:r>
        <w:rPr>
          <w:rFonts w:cs="Arial"/>
        </w:rPr>
        <w:t>'. Your Pension Service was delighted to be re</w:t>
      </w:r>
      <w:r w:rsidRPr="00AA4AB0">
        <w:rPr>
          <w:rFonts w:cs="Arial"/>
        </w:rPr>
        <w:t xml:space="preserve"> accredited </w:t>
      </w:r>
      <w:r>
        <w:rPr>
          <w:rFonts w:cs="Arial"/>
        </w:rPr>
        <w:t>with t</w:t>
      </w:r>
      <w:r w:rsidRPr="00AA4AB0">
        <w:rPr>
          <w:rFonts w:cs="Arial"/>
        </w:rPr>
        <w:t xml:space="preserve">he </w:t>
      </w:r>
      <w:r>
        <w:rPr>
          <w:rFonts w:cs="Arial"/>
        </w:rPr>
        <w:t xml:space="preserve">Government's </w:t>
      </w:r>
      <w:r w:rsidRPr="00AA4AB0">
        <w:rPr>
          <w:rFonts w:cs="Arial"/>
        </w:rPr>
        <w:t>Customer Service Excellence award in June</w:t>
      </w:r>
      <w:r>
        <w:rPr>
          <w:rFonts w:cs="Arial"/>
        </w:rPr>
        <w:t xml:space="preserve"> 2011 as this Award reflects that customer service continues to be a priority for the Service.   </w:t>
      </w:r>
    </w:p>
    <w:p w:rsidR="0092190C" w:rsidRDefault="0092190C" w:rsidP="0092190C">
      <w:pPr>
        <w:rPr>
          <w:rFonts w:cs="Arial"/>
        </w:rPr>
      </w:pPr>
    </w:p>
    <w:p w:rsidR="0092190C" w:rsidRPr="00AD45AE" w:rsidRDefault="0092190C" w:rsidP="0092190C">
      <w:pPr>
        <w:rPr>
          <w:rFonts w:cs="Arial"/>
          <w:b/>
        </w:rPr>
      </w:pPr>
      <w:r>
        <w:rPr>
          <w:rFonts w:cs="Arial"/>
          <w:b/>
        </w:rPr>
        <w:t xml:space="preserve">Public Sector </w:t>
      </w:r>
      <w:r w:rsidRPr="00AD45AE">
        <w:rPr>
          <w:rFonts w:cs="Arial"/>
          <w:b/>
        </w:rPr>
        <w:t xml:space="preserve">Pension Reform </w:t>
      </w:r>
    </w:p>
    <w:p w:rsidR="0092190C" w:rsidRPr="00AD45AE" w:rsidRDefault="0092190C" w:rsidP="0092190C">
      <w:pPr>
        <w:autoSpaceDE w:val="0"/>
        <w:autoSpaceDN w:val="0"/>
        <w:adjustRightInd w:val="0"/>
        <w:rPr>
          <w:rFonts w:cs="Arial"/>
          <w:b/>
          <w:bCs/>
          <w:color w:val="000000"/>
          <w:szCs w:val="24"/>
        </w:rPr>
      </w:pPr>
    </w:p>
    <w:p w:rsidR="0092190C" w:rsidRDefault="0092190C" w:rsidP="0092190C">
      <w:pPr>
        <w:pStyle w:val="Pa0"/>
        <w:rPr>
          <w:rFonts w:ascii="Arial" w:hAnsi="Arial" w:cs="Arial"/>
          <w:color w:val="000000"/>
        </w:rPr>
      </w:pPr>
      <w:r w:rsidRPr="00C549BB">
        <w:rPr>
          <w:rFonts w:ascii="Arial" w:hAnsi="Arial" w:cs="Arial"/>
          <w:color w:val="000000"/>
        </w:rPr>
        <w:t xml:space="preserve">In December 2011, the Chief Secretary to the Treasury, Danny Alexander MP, made a statement to the House of Commons on progress made in the negotiations with the Trades Unions in respect of the reform of public sector pension schemes. The statement sets out </w:t>
      </w:r>
      <w:r w:rsidRPr="00C549BB">
        <w:rPr>
          <w:rFonts w:ascii="Arial" w:hAnsi="Arial" w:cs="Arial"/>
          <w:color w:val="000000"/>
        </w:rPr>
        <w:lastRenderedPageBreak/>
        <w:t xml:space="preserve">that heads of agreement had been established with most unions in the local government, civil service and teacher’s pension schemes. </w:t>
      </w:r>
    </w:p>
    <w:p w:rsidR="0092190C" w:rsidRDefault="0092190C" w:rsidP="0092190C">
      <w:pPr>
        <w:pStyle w:val="Pa0"/>
        <w:rPr>
          <w:rFonts w:ascii="Arial" w:hAnsi="Arial" w:cs="Arial"/>
          <w:color w:val="000000"/>
        </w:rPr>
      </w:pPr>
    </w:p>
    <w:p w:rsidR="0092190C" w:rsidRPr="00C549BB" w:rsidRDefault="0092190C" w:rsidP="0092190C">
      <w:pPr>
        <w:pStyle w:val="Pa0"/>
        <w:rPr>
          <w:rFonts w:ascii="Arial" w:hAnsi="Arial" w:cs="Arial"/>
          <w:color w:val="000000"/>
        </w:rPr>
      </w:pPr>
      <w:r w:rsidRPr="00C549BB">
        <w:rPr>
          <w:rFonts w:ascii="Arial" w:hAnsi="Arial" w:cs="Arial"/>
          <w:color w:val="000000"/>
        </w:rPr>
        <w:t xml:space="preserve">The statement was accompanied by a written ministerial statement from the Secretary of State for Communities and Local Government, Eric Pickles MP, specifically in respect of the Local Government Pension Scheme (LGPS), which stated that a ‘heads of agreement’ had been agreed between the main local government unions, the Local Government Association (LGA) and the Government regarding a way forward for the Local Government Pension Scheme. This agreement set out the principles </w:t>
      </w:r>
      <w:r>
        <w:rPr>
          <w:rFonts w:ascii="Arial" w:hAnsi="Arial" w:cs="Arial"/>
          <w:color w:val="000000"/>
        </w:rPr>
        <w:t xml:space="preserve">to </w:t>
      </w:r>
      <w:r w:rsidRPr="00C549BB">
        <w:rPr>
          <w:rFonts w:ascii="Arial" w:hAnsi="Arial" w:cs="Arial"/>
          <w:color w:val="000000"/>
        </w:rPr>
        <w:t>govern scheme design, ongoing costs management and governance of the new scheme.</w:t>
      </w:r>
    </w:p>
    <w:p w:rsidR="0092190C" w:rsidRDefault="0092190C" w:rsidP="0092190C">
      <w:pPr>
        <w:pStyle w:val="Pa0"/>
        <w:rPr>
          <w:rFonts w:ascii="Arial" w:hAnsi="Arial" w:cs="Arial"/>
          <w:color w:val="000000"/>
        </w:rPr>
      </w:pPr>
    </w:p>
    <w:p w:rsidR="0092190C" w:rsidRDefault="0092190C" w:rsidP="0092190C">
      <w:pPr>
        <w:autoSpaceDE w:val="0"/>
        <w:autoSpaceDN w:val="0"/>
        <w:spacing w:after="240"/>
        <w:rPr>
          <w:rFonts w:cs="Arial"/>
          <w:color w:val="000000"/>
          <w:szCs w:val="24"/>
        </w:rPr>
      </w:pPr>
      <w:r>
        <w:rPr>
          <w:rFonts w:cs="Arial"/>
          <w:color w:val="000000"/>
          <w:szCs w:val="24"/>
        </w:rPr>
        <w:t>R</w:t>
      </w:r>
      <w:r w:rsidRPr="00C549BB">
        <w:rPr>
          <w:rFonts w:cs="Arial"/>
          <w:color w:val="000000"/>
          <w:szCs w:val="24"/>
        </w:rPr>
        <w:t>epresentatives from the L</w:t>
      </w:r>
      <w:r>
        <w:rPr>
          <w:rFonts w:cs="Arial"/>
          <w:color w:val="000000"/>
          <w:szCs w:val="24"/>
        </w:rPr>
        <w:t xml:space="preserve">ocal Government Association and trade unions </w:t>
      </w:r>
      <w:r w:rsidRPr="00C549BB">
        <w:rPr>
          <w:rFonts w:cs="Arial"/>
          <w:color w:val="000000"/>
          <w:szCs w:val="24"/>
        </w:rPr>
        <w:t xml:space="preserve">committed to agree and to cost a new scheme </w:t>
      </w:r>
      <w:r>
        <w:rPr>
          <w:rFonts w:cs="Arial"/>
          <w:color w:val="000000"/>
          <w:szCs w:val="24"/>
        </w:rPr>
        <w:t>early in 2012 and have since a</w:t>
      </w:r>
      <w:r w:rsidRPr="00C549BB">
        <w:rPr>
          <w:rFonts w:cs="Arial"/>
          <w:color w:val="000000"/>
          <w:szCs w:val="24"/>
        </w:rPr>
        <w:t>nnounced the</w:t>
      </w:r>
      <w:r>
        <w:rPr>
          <w:rFonts w:cs="Arial"/>
          <w:color w:val="000000"/>
          <w:szCs w:val="24"/>
        </w:rPr>
        <w:t>ir proposals for the new Local Government Pension Scheme to take effec</w:t>
      </w:r>
      <w:r w:rsidRPr="00C549BB">
        <w:rPr>
          <w:rFonts w:cs="Arial"/>
          <w:color w:val="000000"/>
          <w:szCs w:val="24"/>
        </w:rPr>
        <w:t>t from 1 April 2014.</w:t>
      </w:r>
      <w:r>
        <w:rPr>
          <w:rFonts w:cs="Arial"/>
          <w:color w:val="000000"/>
          <w:szCs w:val="24"/>
        </w:rPr>
        <w:t xml:space="preserve"> These proposals will now form the basis of consultation with scheme members, employers, funds and other scheme interests and a statutory consultation will follow </w:t>
      </w:r>
      <w:r w:rsidR="00F66AF6">
        <w:rPr>
          <w:rFonts w:cs="Arial"/>
          <w:color w:val="000000"/>
          <w:szCs w:val="24"/>
        </w:rPr>
        <w:t>during Autumn</w:t>
      </w:r>
      <w:r>
        <w:rPr>
          <w:rFonts w:cs="Arial"/>
          <w:color w:val="000000"/>
          <w:szCs w:val="24"/>
        </w:rPr>
        <w:t xml:space="preserve"> 2012 to implement these proposals.</w:t>
      </w:r>
    </w:p>
    <w:p w:rsidR="00991666" w:rsidRDefault="0092190C">
      <w:pPr>
        <w:autoSpaceDE w:val="0"/>
        <w:autoSpaceDN w:val="0"/>
        <w:rPr>
          <w:rFonts w:cs="Arial"/>
          <w:b/>
          <w:color w:val="000000"/>
          <w:szCs w:val="24"/>
          <w:highlight w:val="yellow"/>
        </w:rPr>
      </w:pPr>
      <w:r>
        <w:rPr>
          <w:rFonts w:cs="Arial"/>
          <w:color w:val="000000"/>
          <w:szCs w:val="24"/>
        </w:rPr>
        <w:t xml:space="preserve">The main provision of the proposals is that the new LGPS 2014 </w:t>
      </w:r>
      <w:r w:rsidRPr="00C549BB">
        <w:rPr>
          <w:rFonts w:cs="Arial"/>
          <w:bCs/>
          <w:szCs w:val="24"/>
        </w:rPr>
        <w:t>will be a Career Average Revalued Earnings (CARE) scheme using CPI as the revaluation factor (the current scheme is a final salary scheme).  </w:t>
      </w:r>
      <w:r>
        <w:rPr>
          <w:rFonts w:cs="Arial"/>
          <w:color w:val="000000"/>
          <w:szCs w:val="24"/>
        </w:rPr>
        <w:t>More details can be found at (</w:t>
      </w:r>
      <w:hyperlink r:id="rId10" w:history="1">
        <w:r>
          <w:rPr>
            <w:rStyle w:val="Hyperlink"/>
            <w:rFonts w:cs="Arial"/>
            <w:szCs w:val="24"/>
          </w:rPr>
          <w:t>www.lgps.org.uk</w:t>
        </w:r>
      </w:hyperlink>
      <w:r>
        <w:rPr>
          <w:rFonts w:cs="Arial"/>
          <w:color w:val="000000"/>
          <w:szCs w:val="24"/>
        </w:rPr>
        <w:t>) and within the full Annual Administration Report</w:t>
      </w:r>
      <w:r w:rsidR="00294682">
        <w:rPr>
          <w:rFonts w:cs="Arial"/>
          <w:color w:val="000000"/>
          <w:szCs w:val="24"/>
        </w:rPr>
        <w:t xml:space="preserve">. </w:t>
      </w:r>
      <w:hyperlink r:id="rId11" w:history="1">
        <w:r w:rsidR="00294682" w:rsidRPr="00294682">
          <w:rPr>
            <w:rStyle w:val="Hyperlink"/>
            <w:rFonts w:cs="Arial"/>
            <w:szCs w:val="24"/>
          </w:rPr>
          <w:t>Annual Administration Report</w:t>
        </w:r>
      </w:hyperlink>
    </w:p>
    <w:p w:rsidR="00991666" w:rsidRDefault="00991666">
      <w:pPr>
        <w:autoSpaceDE w:val="0"/>
        <w:autoSpaceDN w:val="0"/>
        <w:rPr>
          <w:rFonts w:cs="Arial"/>
          <w:b/>
          <w:color w:val="000000"/>
          <w:szCs w:val="24"/>
          <w:highlight w:val="yellow"/>
        </w:rPr>
      </w:pPr>
    </w:p>
    <w:p w:rsidR="00DE1D54" w:rsidRPr="00E56E3C" w:rsidRDefault="00DE1D54" w:rsidP="0032114B">
      <w:pPr>
        <w:autoSpaceDE w:val="0"/>
        <w:autoSpaceDN w:val="0"/>
        <w:adjustRightInd w:val="0"/>
        <w:jc w:val="both"/>
        <w:rPr>
          <w:rFonts w:cs="Arial"/>
          <w:b/>
          <w:color w:val="000000"/>
          <w:szCs w:val="24"/>
        </w:rPr>
      </w:pPr>
      <w:r w:rsidRPr="00E56E3C">
        <w:rPr>
          <w:rFonts w:cs="Arial"/>
          <w:b/>
          <w:color w:val="000000"/>
          <w:szCs w:val="24"/>
        </w:rPr>
        <w:t>Other information</w:t>
      </w:r>
    </w:p>
    <w:p w:rsidR="00E738E7" w:rsidRPr="00E56E3C" w:rsidRDefault="00E738E7" w:rsidP="0032114B">
      <w:pPr>
        <w:autoSpaceDE w:val="0"/>
        <w:autoSpaceDN w:val="0"/>
        <w:adjustRightInd w:val="0"/>
        <w:jc w:val="both"/>
        <w:rPr>
          <w:rFonts w:cs="Arial"/>
          <w:b/>
          <w:color w:val="000000"/>
          <w:szCs w:val="24"/>
        </w:rPr>
      </w:pPr>
    </w:p>
    <w:p w:rsidR="00D23EDB" w:rsidRPr="00D23EDB" w:rsidRDefault="00ED4CC5" w:rsidP="00D23EDB">
      <w:pPr>
        <w:autoSpaceDE w:val="0"/>
        <w:autoSpaceDN w:val="0"/>
        <w:adjustRightInd w:val="0"/>
        <w:jc w:val="both"/>
        <w:rPr>
          <w:rFonts w:cs="Arial"/>
          <w:color w:val="000000"/>
          <w:szCs w:val="24"/>
        </w:rPr>
      </w:pPr>
      <w:r w:rsidRPr="00E56E3C">
        <w:rPr>
          <w:rFonts w:cs="Arial"/>
          <w:color w:val="000000"/>
        </w:rPr>
        <w:t>Further statements</w:t>
      </w:r>
      <w:r w:rsidR="00DE1D54" w:rsidRPr="00E56E3C">
        <w:rPr>
          <w:rFonts w:cs="Arial"/>
          <w:color w:val="000000"/>
        </w:rPr>
        <w:t xml:space="preserve"> relating to the administration of the Scheme </w:t>
      </w:r>
      <w:r w:rsidR="00206086">
        <w:rPr>
          <w:rFonts w:cs="Arial"/>
          <w:color w:val="000000"/>
        </w:rPr>
        <w:t>including the</w:t>
      </w:r>
      <w:r w:rsidR="00F66AF6">
        <w:rPr>
          <w:rFonts w:cs="Arial"/>
          <w:color w:val="000000"/>
        </w:rPr>
        <w:t xml:space="preserve"> </w:t>
      </w:r>
      <w:r w:rsidR="00E80588" w:rsidRPr="00E80588">
        <w:rPr>
          <w:rFonts w:cs="Arial"/>
          <w:color w:val="000000"/>
        </w:rPr>
        <w:t>Communication Policy Statement and the Pensions Administration Strategy Statement are available from the Fund and can be accessed via the Fund Website at:</w:t>
      </w:r>
    </w:p>
    <w:p w:rsidR="00D23EDB" w:rsidRPr="00B07458" w:rsidRDefault="00D23EDB" w:rsidP="00D23EDB">
      <w:pPr>
        <w:pStyle w:val="BodyTextIndent"/>
        <w:ind w:left="0"/>
        <w:rPr>
          <w:color w:val="0000FF"/>
          <w:highlight w:val="yellow"/>
          <w:u w:val="single"/>
        </w:rPr>
      </w:pPr>
    </w:p>
    <w:p w:rsidR="00D23EDB" w:rsidRPr="006E1493" w:rsidRDefault="0086791E" w:rsidP="00D23EDB">
      <w:pPr>
        <w:rPr>
          <w:rFonts w:cs="Arial"/>
          <w:color w:val="FF0000"/>
        </w:rPr>
      </w:pPr>
      <w:hyperlink r:id="rId12" w:history="1">
        <w:r w:rsidR="00083031" w:rsidRPr="001E0710">
          <w:rPr>
            <w:rStyle w:val="Hyperlink"/>
            <w:b/>
          </w:rPr>
          <w:t>http://www.yourpensionservice.org.uk</w:t>
        </w:r>
      </w:hyperlink>
    </w:p>
    <w:p w:rsidR="00916879" w:rsidRPr="00E56E3C" w:rsidRDefault="00F52531" w:rsidP="00E56E3C">
      <w:pPr>
        <w:autoSpaceDE w:val="0"/>
        <w:autoSpaceDN w:val="0"/>
        <w:adjustRightInd w:val="0"/>
        <w:jc w:val="both"/>
        <w:rPr>
          <w:rFonts w:cs="Arial"/>
          <w:color w:val="000000"/>
        </w:rPr>
      </w:pPr>
      <w:r w:rsidRPr="00E56E3C">
        <w:rPr>
          <w:rFonts w:cs="Arial"/>
          <w:color w:val="000000"/>
        </w:rPr>
        <w:t xml:space="preserve"> </w:t>
      </w:r>
    </w:p>
    <w:p w:rsidR="00916879" w:rsidRPr="00B07458" w:rsidRDefault="00916879" w:rsidP="00916879">
      <w:pPr>
        <w:pStyle w:val="BodyTextIndent"/>
        <w:ind w:left="0"/>
        <w:jc w:val="left"/>
        <w:rPr>
          <w:rFonts w:cs="Arial"/>
          <w:color w:val="000000"/>
          <w:highlight w:val="yellow"/>
        </w:rPr>
      </w:pPr>
    </w:p>
    <w:p w:rsidR="00916879" w:rsidRPr="006E1493" w:rsidRDefault="00F27CEF" w:rsidP="00916879">
      <w:pPr>
        <w:pStyle w:val="BodyTextIndent"/>
        <w:ind w:left="0"/>
        <w:jc w:val="left"/>
        <w:rPr>
          <w:rFonts w:cs="Arial"/>
          <w:color w:val="000000"/>
        </w:rPr>
      </w:pPr>
      <w:r>
        <w:rPr>
          <w:rFonts w:cs="Arial"/>
          <w:color w:val="000000"/>
        </w:rPr>
        <w:t>Your</w:t>
      </w:r>
      <w:r w:rsidR="00916879" w:rsidRPr="006E1493">
        <w:rPr>
          <w:rFonts w:cs="Arial"/>
          <w:color w:val="000000"/>
        </w:rPr>
        <w:t xml:space="preserve"> Pension Service can be contacted at:</w:t>
      </w:r>
    </w:p>
    <w:p w:rsidR="00F27CEF" w:rsidRDefault="00595139" w:rsidP="00595139">
      <w:pPr>
        <w:autoSpaceDE w:val="0"/>
        <w:autoSpaceDN w:val="0"/>
        <w:adjustRightInd w:val="0"/>
        <w:rPr>
          <w:rFonts w:cs="Arial"/>
          <w:bCs/>
          <w:color w:val="000000"/>
        </w:rPr>
      </w:pPr>
      <w:r w:rsidRPr="006E1493">
        <w:rPr>
          <w:rFonts w:cs="Arial"/>
          <w:bCs/>
          <w:color w:val="000000"/>
        </w:rPr>
        <w:t xml:space="preserve">PO Box 100 </w:t>
      </w:r>
    </w:p>
    <w:p w:rsidR="00F27CEF" w:rsidRDefault="00595139" w:rsidP="00595139">
      <w:pPr>
        <w:autoSpaceDE w:val="0"/>
        <w:autoSpaceDN w:val="0"/>
        <w:adjustRightInd w:val="0"/>
        <w:rPr>
          <w:rFonts w:cs="Arial"/>
          <w:bCs/>
          <w:color w:val="000000"/>
        </w:rPr>
      </w:pPr>
      <w:r w:rsidRPr="006E1493">
        <w:rPr>
          <w:rFonts w:cs="Arial"/>
          <w:bCs/>
          <w:color w:val="000000"/>
        </w:rPr>
        <w:t xml:space="preserve">County Hall </w:t>
      </w:r>
    </w:p>
    <w:p w:rsidR="00F27CEF" w:rsidRDefault="00595139" w:rsidP="00595139">
      <w:pPr>
        <w:autoSpaceDE w:val="0"/>
        <w:autoSpaceDN w:val="0"/>
        <w:adjustRightInd w:val="0"/>
        <w:rPr>
          <w:rFonts w:cs="Arial"/>
          <w:bCs/>
          <w:color w:val="000000"/>
        </w:rPr>
      </w:pPr>
      <w:r w:rsidRPr="006E1493">
        <w:rPr>
          <w:rFonts w:cs="Arial"/>
          <w:bCs/>
          <w:color w:val="000000"/>
        </w:rPr>
        <w:t xml:space="preserve">Preston </w:t>
      </w:r>
    </w:p>
    <w:p w:rsidR="00595139" w:rsidRPr="006E1493" w:rsidRDefault="00595139" w:rsidP="00595139">
      <w:pPr>
        <w:autoSpaceDE w:val="0"/>
        <w:autoSpaceDN w:val="0"/>
        <w:adjustRightInd w:val="0"/>
        <w:rPr>
          <w:rFonts w:cs="Arial"/>
          <w:bCs/>
          <w:color w:val="000000"/>
        </w:rPr>
      </w:pPr>
      <w:r w:rsidRPr="006E1493">
        <w:rPr>
          <w:rFonts w:cs="Arial"/>
          <w:bCs/>
          <w:color w:val="000000"/>
        </w:rPr>
        <w:t>PR1 0LD</w:t>
      </w:r>
    </w:p>
    <w:p w:rsidR="008C5347" w:rsidRPr="006E1493" w:rsidRDefault="008C5347" w:rsidP="00595139">
      <w:pPr>
        <w:autoSpaceDE w:val="0"/>
        <w:autoSpaceDN w:val="0"/>
        <w:adjustRightInd w:val="0"/>
        <w:rPr>
          <w:rFonts w:cs="Arial"/>
          <w:bCs/>
          <w:color w:val="000000"/>
        </w:rPr>
      </w:pPr>
    </w:p>
    <w:p w:rsidR="00595139" w:rsidRDefault="00F27CEF" w:rsidP="00595139">
      <w:pPr>
        <w:autoSpaceDE w:val="0"/>
        <w:autoSpaceDN w:val="0"/>
        <w:adjustRightInd w:val="0"/>
        <w:rPr>
          <w:rFonts w:cs="Arial"/>
          <w:bCs/>
          <w:color w:val="000000"/>
        </w:rPr>
      </w:pPr>
      <w:r>
        <w:rPr>
          <w:rFonts w:cs="Arial"/>
          <w:bCs/>
          <w:color w:val="000000"/>
        </w:rPr>
        <w:t xml:space="preserve">Telephone:  </w:t>
      </w:r>
      <w:r w:rsidR="00595139" w:rsidRPr="006E1493">
        <w:rPr>
          <w:rFonts w:cs="Arial"/>
          <w:bCs/>
          <w:color w:val="000000"/>
        </w:rPr>
        <w:t>01772 530530</w:t>
      </w:r>
    </w:p>
    <w:p w:rsidR="00D20F06" w:rsidRPr="006E1493" w:rsidRDefault="00D20F06" w:rsidP="00595139">
      <w:pPr>
        <w:autoSpaceDE w:val="0"/>
        <w:autoSpaceDN w:val="0"/>
        <w:adjustRightInd w:val="0"/>
        <w:rPr>
          <w:rFonts w:cs="Arial"/>
          <w:bCs/>
          <w:color w:val="000000"/>
        </w:rPr>
      </w:pPr>
    </w:p>
    <w:p w:rsidR="00595139" w:rsidRDefault="00F27CEF" w:rsidP="00595139">
      <w:pPr>
        <w:autoSpaceDE w:val="0"/>
        <w:autoSpaceDN w:val="0"/>
        <w:adjustRightInd w:val="0"/>
        <w:rPr>
          <w:rFonts w:cs="Arial"/>
          <w:bCs/>
          <w:color w:val="000000"/>
        </w:rPr>
      </w:pPr>
      <w:r>
        <w:rPr>
          <w:rFonts w:cs="Arial"/>
          <w:bCs/>
          <w:color w:val="000000"/>
        </w:rPr>
        <w:t xml:space="preserve">E-mail: </w:t>
      </w:r>
      <w:hyperlink r:id="rId13" w:history="1">
        <w:r w:rsidR="0075538E" w:rsidRPr="0075046B">
          <w:rPr>
            <w:rStyle w:val="Hyperlink"/>
            <w:rFonts w:cs="Arial"/>
            <w:bCs/>
          </w:rPr>
          <w:t>pensions.helpdesk@lancashire.gov.uk</w:t>
        </w:r>
      </w:hyperlink>
    </w:p>
    <w:p w:rsidR="000B219A" w:rsidRPr="000B219A" w:rsidRDefault="0086791E" w:rsidP="000B219A">
      <w:pPr>
        <w:rPr>
          <w:rFonts w:cs="Arial"/>
          <w:color w:val="FF0000"/>
        </w:rPr>
      </w:pPr>
      <w:hyperlink r:id="rId14" w:history="1">
        <w:r w:rsidR="000B219A" w:rsidRPr="000B219A">
          <w:rPr>
            <w:rStyle w:val="Hyperlink"/>
          </w:rPr>
          <w:t>http://www.yourpensionservice.org.uk</w:t>
        </w:r>
      </w:hyperlink>
    </w:p>
    <w:p w:rsidR="00FC5EDB" w:rsidRPr="006E1493" w:rsidRDefault="0017515A" w:rsidP="00C5530A">
      <w:pPr>
        <w:pStyle w:val="Heading1"/>
        <w:spacing w:before="0" w:after="0"/>
        <w:rPr>
          <w:snapToGrid w:val="0"/>
          <w:color w:val="000000"/>
          <w:kern w:val="0"/>
          <w:sz w:val="24"/>
          <w:szCs w:val="24"/>
          <w:lang w:eastAsia="en-US"/>
        </w:rPr>
      </w:pPr>
      <w:r w:rsidRPr="00B07458">
        <w:rPr>
          <w:snapToGrid w:val="0"/>
          <w:color w:val="000000"/>
          <w:kern w:val="0"/>
          <w:sz w:val="24"/>
          <w:szCs w:val="24"/>
          <w:highlight w:val="yellow"/>
          <w:lang w:eastAsia="en-US"/>
        </w:rPr>
        <w:br w:type="page"/>
      </w:r>
      <w:r w:rsidR="00FC5EDB" w:rsidRPr="006E1493">
        <w:rPr>
          <w:snapToGrid w:val="0"/>
          <w:color w:val="000000"/>
          <w:kern w:val="0"/>
          <w:sz w:val="24"/>
          <w:szCs w:val="24"/>
          <w:lang w:eastAsia="en-US"/>
        </w:rPr>
        <w:lastRenderedPageBreak/>
        <w:t>Participation in the Fund</w:t>
      </w:r>
    </w:p>
    <w:p w:rsidR="00C57287" w:rsidRPr="006E1493" w:rsidRDefault="00C57287" w:rsidP="00C57287">
      <w:pPr>
        <w:rPr>
          <w:lang w:val="en-US"/>
        </w:rPr>
      </w:pPr>
    </w:p>
    <w:tbl>
      <w:tblPr>
        <w:tblpPr w:leftFromText="180" w:rightFromText="180" w:vertAnchor="text" w:horzAnchor="margin" w:tblpXSpec="center"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7"/>
        <w:gridCol w:w="2091"/>
        <w:gridCol w:w="2018"/>
      </w:tblGrid>
      <w:tr w:rsidR="00C57287" w:rsidRPr="006E1493">
        <w:tc>
          <w:tcPr>
            <w:tcW w:w="3687" w:type="dxa"/>
            <w:tcBorders>
              <w:bottom w:val="single" w:sz="4" w:space="0" w:color="auto"/>
              <w:right w:val="single" w:sz="4" w:space="0" w:color="808080"/>
            </w:tcBorders>
            <w:shd w:val="pct5" w:color="auto" w:fill="FFFFFF"/>
          </w:tcPr>
          <w:p w:rsidR="00C57287" w:rsidRPr="006E1493" w:rsidRDefault="00C57287" w:rsidP="00C57287">
            <w:pPr>
              <w:spacing w:before="120" w:after="120"/>
            </w:pPr>
          </w:p>
        </w:tc>
        <w:tc>
          <w:tcPr>
            <w:tcW w:w="2091" w:type="dxa"/>
            <w:tcBorders>
              <w:left w:val="single" w:sz="4" w:space="0" w:color="808080"/>
              <w:bottom w:val="single" w:sz="4" w:space="0" w:color="auto"/>
              <w:right w:val="single" w:sz="4" w:space="0" w:color="808080"/>
            </w:tcBorders>
            <w:shd w:val="pct5" w:color="auto" w:fill="FFFFFF"/>
          </w:tcPr>
          <w:p w:rsidR="00C57287" w:rsidRPr="006E1493" w:rsidRDefault="00C57287" w:rsidP="007B5E66">
            <w:pPr>
              <w:spacing w:before="120" w:after="120"/>
              <w:jc w:val="center"/>
            </w:pPr>
            <w:r w:rsidRPr="006E1493">
              <w:rPr>
                <w:b/>
                <w:snapToGrid w:val="0"/>
                <w:lang w:eastAsia="en-US"/>
              </w:rPr>
              <w:t>Number at</w:t>
            </w:r>
            <w:r w:rsidRPr="006E1493">
              <w:rPr>
                <w:b/>
                <w:snapToGrid w:val="0"/>
                <w:lang w:eastAsia="en-US"/>
              </w:rPr>
              <w:br/>
              <w:t xml:space="preserve">31 March </w:t>
            </w:r>
            <w:r w:rsidR="007B5E66" w:rsidRPr="006E1493">
              <w:rPr>
                <w:b/>
                <w:snapToGrid w:val="0"/>
                <w:lang w:eastAsia="en-US"/>
              </w:rPr>
              <w:t>20</w:t>
            </w:r>
            <w:r w:rsidR="007B5E66">
              <w:rPr>
                <w:b/>
                <w:snapToGrid w:val="0"/>
                <w:lang w:eastAsia="en-US"/>
              </w:rPr>
              <w:t>12</w:t>
            </w:r>
          </w:p>
        </w:tc>
        <w:tc>
          <w:tcPr>
            <w:tcW w:w="2018" w:type="dxa"/>
            <w:tcBorders>
              <w:left w:val="single" w:sz="4" w:space="0" w:color="808080"/>
              <w:bottom w:val="single" w:sz="4" w:space="0" w:color="auto"/>
            </w:tcBorders>
            <w:shd w:val="pct5" w:color="auto" w:fill="FFFFFF"/>
          </w:tcPr>
          <w:p w:rsidR="00C57287" w:rsidRPr="006E1493" w:rsidRDefault="00C57287" w:rsidP="00D14D29">
            <w:pPr>
              <w:spacing w:before="120" w:after="120"/>
              <w:jc w:val="center"/>
            </w:pPr>
            <w:r w:rsidRPr="006E1493">
              <w:rPr>
                <w:b/>
                <w:snapToGrid w:val="0"/>
                <w:lang w:eastAsia="en-US"/>
              </w:rPr>
              <w:t>Number at</w:t>
            </w:r>
            <w:r w:rsidRPr="006E1493">
              <w:rPr>
                <w:b/>
                <w:snapToGrid w:val="0"/>
                <w:lang w:eastAsia="en-US"/>
              </w:rPr>
              <w:br/>
              <w:t>31 March 20</w:t>
            </w:r>
            <w:r w:rsidR="006E1493" w:rsidRPr="006E1493">
              <w:rPr>
                <w:b/>
                <w:snapToGrid w:val="0"/>
                <w:lang w:eastAsia="en-US"/>
              </w:rPr>
              <w:t>1</w:t>
            </w:r>
            <w:r w:rsidR="00D14D29">
              <w:rPr>
                <w:b/>
                <w:snapToGrid w:val="0"/>
                <w:lang w:eastAsia="en-US"/>
              </w:rPr>
              <w:t>1</w:t>
            </w:r>
          </w:p>
        </w:tc>
      </w:tr>
      <w:tr w:rsidR="00C57287" w:rsidRPr="006E1493">
        <w:tc>
          <w:tcPr>
            <w:tcW w:w="3687" w:type="dxa"/>
            <w:tcBorders>
              <w:bottom w:val="nil"/>
              <w:right w:val="single" w:sz="4" w:space="0" w:color="808080"/>
            </w:tcBorders>
            <w:shd w:val="pct5" w:color="auto" w:fill="FFFFFF"/>
          </w:tcPr>
          <w:p w:rsidR="00C57287" w:rsidRPr="006E1493" w:rsidRDefault="00C57287" w:rsidP="00C57287">
            <w:pPr>
              <w:tabs>
                <w:tab w:val="left" w:pos="508"/>
              </w:tabs>
              <w:spacing w:before="120" w:after="120"/>
            </w:pPr>
            <w:r w:rsidRPr="006E1493">
              <w:rPr>
                <w:snapToGrid w:val="0"/>
                <w:lang w:eastAsia="en-US"/>
              </w:rPr>
              <w:t>(1)</w:t>
            </w:r>
            <w:r w:rsidRPr="006E1493">
              <w:rPr>
                <w:snapToGrid w:val="0"/>
                <w:lang w:eastAsia="en-US"/>
              </w:rPr>
              <w:tab/>
              <w:t>Active scheme members:</w:t>
            </w:r>
          </w:p>
        </w:tc>
        <w:tc>
          <w:tcPr>
            <w:tcW w:w="2091" w:type="dxa"/>
            <w:tcBorders>
              <w:left w:val="single" w:sz="4" w:space="0" w:color="808080"/>
              <w:bottom w:val="nil"/>
              <w:right w:val="single" w:sz="4" w:space="0" w:color="808080"/>
            </w:tcBorders>
            <w:shd w:val="pct5" w:color="auto" w:fill="FFFFFF"/>
          </w:tcPr>
          <w:p w:rsidR="00C57287" w:rsidRPr="006E1493" w:rsidRDefault="00C57287" w:rsidP="00C57287">
            <w:pPr>
              <w:spacing w:before="120" w:after="120"/>
            </w:pPr>
          </w:p>
        </w:tc>
        <w:tc>
          <w:tcPr>
            <w:tcW w:w="2018" w:type="dxa"/>
            <w:tcBorders>
              <w:left w:val="single" w:sz="4" w:space="0" w:color="808080"/>
              <w:bottom w:val="nil"/>
            </w:tcBorders>
            <w:shd w:val="pct5" w:color="auto" w:fill="FFFFFF"/>
          </w:tcPr>
          <w:p w:rsidR="00C57287" w:rsidRPr="006E1493" w:rsidRDefault="00C57287" w:rsidP="00C57287">
            <w:pPr>
              <w:spacing w:before="120" w:after="120"/>
              <w:jc w:val="center"/>
            </w:pPr>
          </w:p>
        </w:tc>
      </w:tr>
      <w:tr w:rsidR="00C57287" w:rsidRPr="006E1493">
        <w:trPr>
          <w:trHeight w:val="560"/>
        </w:trPr>
        <w:tc>
          <w:tcPr>
            <w:tcW w:w="3687" w:type="dxa"/>
            <w:tcBorders>
              <w:top w:val="nil"/>
              <w:bottom w:val="nil"/>
              <w:right w:val="single" w:sz="4" w:space="0" w:color="808080"/>
            </w:tcBorders>
            <w:shd w:val="pct5" w:color="auto" w:fill="FFFFFF"/>
            <w:vAlign w:val="center"/>
          </w:tcPr>
          <w:p w:rsidR="00C57287" w:rsidRPr="006E1493" w:rsidRDefault="00C57287" w:rsidP="00C57287">
            <w:pPr>
              <w:tabs>
                <w:tab w:val="left" w:pos="508"/>
              </w:tabs>
              <w:ind w:left="508"/>
              <w:rPr>
                <w:snapToGrid w:val="0"/>
                <w:lang w:eastAsia="en-US"/>
              </w:rPr>
            </w:pPr>
            <w:r w:rsidRPr="006E1493">
              <w:rPr>
                <w:snapToGrid w:val="0"/>
                <w:lang w:eastAsia="en-US"/>
              </w:rPr>
              <w:t>Scheduled Bodies</w:t>
            </w:r>
          </w:p>
        </w:tc>
        <w:tc>
          <w:tcPr>
            <w:tcW w:w="2091" w:type="dxa"/>
            <w:tcBorders>
              <w:top w:val="nil"/>
              <w:left w:val="single" w:sz="4" w:space="0" w:color="808080"/>
              <w:bottom w:val="nil"/>
              <w:right w:val="single" w:sz="4" w:space="0" w:color="808080"/>
            </w:tcBorders>
            <w:shd w:val="pct5" w:color="auto" w:fill="FFFFFF"/>
            <w:vAlign w:val="center"/>
          </w:tcPr>
          <w:p w:rsidR="00C57287" w:rsidRPr="006E1493" w:rsidRDefault="006E1493" w:rsidP="00281D11">
            <w:pPr>
              <w:spacing w:before="120"/>
              <w:ind w:left="432" w:right="432"/>
              <w:jc w:val="center"/>
              <w:rPr>
                <w:snapToGrid w:val="0"/>
                <w:lang w:eastAsia="en-US"/>
              </w:rPr>
            </w:pPr>
            <w:r w:rsidRPr="006E1493">
              <w:rPr>
                <w:snapToGrid w:val="0"/>
                <w:lang w:eastAsia="en-US"/>
              </w:rPr>
              <w:t>4</w:t>
            </w:r>
            <w:r w:rsidR="00281D11">
              <w:rPr>
                <w:snapToGrid w:val="0"/>
                <w:lang w:eastAsia="en-US"/>
              </w:rPr>
              <w:t>6,422</w:t>
            </w:r>
          </w:p>
        </w:tc>
        <w:tc>
          <w:tcPr>
            <w:tcW w:w="2018" w:type="dxa"/>
            <w:tcBorders>
              <w:top w:val="nil"/>
              <w:left w:val="single" w:sz="4" w:space="0" w:color="808080"/>
              <w:bottom w:val="nil"/>
            </w:tcBorders>
            <w:shd w:val="pct5" w:color="auto" w:fill="FFFFFF"/>
            <w:vAlign w:val="center"/>
          </w:tcPr>
          <w:p w:rsidR="00C57287" w:rsidRPr="006E1493" w:rsidRDefault="00D14D29" w:rsidP="00C57287">
            <w:pPr>
              <w:spacing w:before="120"/>
              <w:ind w:left="432" w:right="432"/>
              <w:jc w:val="center"/>
              <w:rPr>
                <w:snapToGrid w:val="0"/>
                <w:lang w:eastAsia="en-US"/>
              </w:rPr>
            </w:pPr>
            <w:r>
              <w:rPr>
                <w:snapToGrid w:val="0"/>
                <w:lang w:eastAsia="en-US"/>
              </w:rPr>
              <w:t>47,912</w:t>
            </w:r>
          </w:p>
        </w:tc>
      </w:tr>
      <w:tr w:rsidR="00C57287" w:rsidRPr="006E1493">
        <w:trPr>
          <w:trHeight w:val="560"/>
        </w:trPr>
        <w:tc>
          <w:tcPr>
            <w:tcW w:w="3687" w:type="dxa"/>
            <w:tcBorders>
              <w:top w:val="nil"/>
              <w:bottom w:val="nil"/>
              <w:right w:val="single" w:sz="4" w:space="0" w:color="808080"/>
            </w:tcBorders>
            <w:shd w:val="pct5" w:color="auto" w:fill="FFFFFF"/>
            <w:vAlign w:val="center"/>
          </w:tcPr>
          <w:p w:rsidR="00C57287" w:rsidRPr="006E1493" w:rsidRDefault="00C57287" w:rsidP="00C57287">
            <w:pPr>
              <w:tabs>
                <w:tab w:val="left" w:pos="508"/>
              </w:tabs>
              <w:ind w:left="508"/>
              <w:rPr>
                <w:snapToGrid w:val="0"/>
                <w:lang w:eastAsia="en-US"/>
              </w:rPr>
            </w:pPr>
            <w:r w:rsidRPr="006E1493">
              <w:rPr>
                <w:snapToGrid w:val="0"/>
                <w:lang w:eastAsia="en-US"/>
              </w:rPr>
              <w:t>Admitted Bodies</w:t>
            </w:r>
          </w:p>
        </w:tc>
        <w:tc>
          <w:tcPr>
            <w:tcW w:w="2091" w:type="dxa"/>
            <w:tcBorders>
              <w:top w:val="nil"/>
              <w:left w:val="single" w:sz="4" w:space="0" w:color="808080"/>
              <w:bottom w:val="single" w:sz="4" w:space="0" w:color="auto"/>
              <w:right w:val="single" w:sz="4" w:space="0" w:color="808080"/>
            </w:tcBorders>
            <w:shd w:val="pct5" w:color="auto" w:fill="FFFFFF"/>
          </w:tcPr>
          <w:p w:rsidR="00C57287" w:rsidRPr="006E1493" w:rsidRDefault="006E1493" w:rsidP="00281D11">
            <w:pPr>
              <w:spacing w:before="120"/>
              <w:ind w:left="432" w:right="317"/>
              <w:jc w:val="center"/>
              <w:rPr>
                <w:snapToGrid w:val="0"/>
                <w:lang w:eastAsia="en-US"/>
              </w:rPr>
            </w:pPr>
            <w:r w:rsidRPr="006E1493">
              <w:rPr>
                <w:snapToGrid w:val="0"/>
                <w:lang w:eastAsia="en-US"/>
              </w:rPr>
              <w:t>3,7</w:t>
            </w:r>
            <w:r w:rsidR="00281D11">
              <w:rPr>
                <w:snapToGrid w:val="0"/>
                <w:lang w:eastAsia="en-US"/>
              </w:rPr>
              <w:t>16</w:t>
            </w:r>
          </w:p>
        </w:tc>
        <w:tc>
          <w:tcPr>
            <w:tcW w:w="2018" w:type="dxa"/>
            <w:tcBorders>
              <w:top w:val="nil"/>
              <w:left w:val="single" w:sz="4" w:space="0" w:color="808080"/>
              <w:bottom w:val="single" w:sz="4" w:space="0" w:color="auto"/>
            </w:tcBorders>
            <w:shd w:val="pct5" w:color="auto" w:fill="FFFFFF"/>
          </w:tcPr>
          <w:p w:rsidR="00C57287" w:rsidRPr="006E1493" w:rsidRDefault="00D14D29" w:rsidP="00C57287">
            <w:pPr>
              <w:spacing w:before="120"/>
              <w:ind w:left="432" w:right="317"/>
              <w:jc w:val="center"/>
              <w:rPr>
                <w:snapToGrid w:val="0"/>
                <w:lang w:eastAsia="en-US"/>
              </w:rPr>
            </w:pPr>
            <w:r>
              <w:rPr>
                <w:snapToGrid w:val="0"/>
                <w:lang w:eastAsia="en-US"/>
              </w:rPr>
              <w:t>3,781</w:t>
            </w:r>
          </w:p>
        </w:tc>
      </w:tr>
      <w:tr w:rsidR="00C57287" w:rsidRPr="006E1493">
        <w:trPr>
          <w:trHeight w:val="560"/>
        </w:trPr>
        <w:tc>
          <w:tcPr>
            <w:tcW w:w="3687" w:type="dxa"/>
            <w:tcBorders>
              <w:top w:val="nil"/>
              <w:bottom w:val="nil"/>
              <w:right w:val="single" w:sz="4" w:space="0" w:color="808080"/>
            </w:tcBorders>
            <w:shd w:val="pct5" w:color="auto" w:fill="FFFFFF"/>
            <w:vAlign w:val="center"/>
          </w:tcPr>
          <w:p w:rsidR="00C57287" w:rsidRPr="006E1493" w:rsidRDefault="00C57287" w:rsidP="00C57287">
            <w:pPr>
              <w:tabs>
                <w:tab w:val="left" w:pos="508"/>
              </w:tabs>
              <w:ind w:left="508"/>
              <w:rPr>
                <w:b/>
                <w:snapToGrid w:val="0"/>
                <w:lang w:eastAsia="en-US"/>
              </w:rPr>
            </w:pPr>
            <w:r w:rsidRPr="006E1493">
              <w:rPr>
                <w:b/>
                <w:snapToGrid w:val="0"/>
                <w:lang w:eastAsia="en-US"/>
              </w:rPr>
              <w:t>Total</w:t>
            </w:r>
          </w:p>
        </w:tc>
        <w:tc>
          <w:tcPr>
            <w:tcW w:w="2091" w:type="dxa"/>
            <w:tcBorders>
              <w:top w:val="single" w:sz="4" w:space="0" w:color="auto"/>
              <w:left w:val="single" w:sz="4" w:space="0" w:color="808080"/>
              <w:bottom w:val="double" w:sz="4" w:space="0" w:color="auto"/>
              <w:right w:val="single" w:sz="4" w:space="0" w:color="808080"/>
            </w:tcBorders>
            <w:shd w:val="pct5" w:color="auto" w:fill="FFFFFF"/>
          </w:tcPr>
          <w:p w:rsidR="00C57287" w:rsidRPr="006E1493" w:rsidRDefault="00281D11" w:rsidP="005D730F">
            <w:pPr>
              <w:spacing w:before="120"/>
              <w:ind w:left="432" w:right="317"/>
              <w:jc w:val="center"/>
              <w:rPr>
                <w:b/>
                <w:snapToGrid w:val="0"/>
                <w:lang w:eastAsia="en-US"/>
              </w:rPr>
            </w:pPr>
            <w:r>
              <w:rPr>
                <w:b/>
                <w:snapToGrid w:val="0"/>
                <w:lang w:eastAsia="en-US"/>
              </w:rPr>
              <w:t>50,138</w:t>
            </w:r>
          </w:p>
        </w:tc>
        <w:tc>
          <w:tcPr>
            <w:tcW w:w="2018" w:type="dxa"/>
            <w:tcBorders>
              <w:top w:val="single" w:sz="4" w:space="0" w:color="auto"/>
              <w:left w:val="single" w:sz="4" w:space="0" w:color="808080"/>
              <w:bottom w:val="double" w:sz="4" w:space="0" w:color="auto"/>
            </w:tcBorders>
            <w:shd w:val="pct5" w:color="auto" w:fill="FFFFFF"/>
          </w:tcPr>
          <w:p w:rsidR="00C57287" w:rsidRPr="006E1493" w:rsidRDefault="00D14D29" w:rsidP="00C57287">
            <w:pPr>
              <w:spacing w:before="120"/>
              <w:ind w:left="432" w:right="317"/>
              <w:jc w:val="center"/>
              <w:rPr>
                <w:b/>
                <w:snapToGrid w:val="0"/>
                <w:lang w:eastAsia="en-US"/>
              </w:rPr>
            </w:pPr>
            <w:r>
              <w:rPr>
                <w:b/>
                <w:snapToGrid w:val="0"/>
                <w:lang w:eastAsia="en-US"/>
              </w:rPr>
              <w:t>51,693</w:t>
            </w:r>
          </w:p>
        </w:tc>
      </w:tr>
      <w:tr w:rsidR="00C57287" w:rsidRPr="006E1493">
        <w:trPr>
          <w:trHeight w:val="520"/>
        </w:trPr>
        <w:tc>
          <w:tcPr>
            <w:tcW w:w="3687" w:type="dxa"/>
            <w:tcBorders>
              <w:top w:val="nil"/>
              <w:bottom w:val="nil"/>
              <w:right w:val="single" w:sz="4" w:space="0" w:color="808080"/>
            </w:tcBorders>
            <w:shd w:val="pct5" w:color="auto" w:fill="FFFFFF"/>
          </w:tcPr>
          <w:p w:rsidR="00C57287" w:rsidRPr="006E1493" w:rsidRDefault="00C57287" w:rsidP="00C57287">
            <w:pPr>
              <w:tabs>
                <w:tab w:val="left" w:pos="508"/>
              </w:tabs>
              <w:spacing w:before="120" w:after="120"/>
              <w:rPr>
                <w:snapToGrid w:val="0"/>
                <w:lang w:eastAsia="en-US"/>
              </w:rPr>
            </w:pPr>
            <w:r w:rsidRPr="006E1493">
              <w:rPr>
                <w:snapToGrid w:val="0"/>
                <w:lang w:eastAsia="en-US"/>
              </w:rPr>
              <w:t>(2)</w:t>
            </w:r>
            <w:r w:rsidRPr="006E1493">
              <w:rPr>
                <w:snapToGrid w:val="0"/>
                <w:lang w:eastAsia="en-US"/>
              </w:rPr>
              <w:tab/>
              <w:t>Pensioners:</w:t>
            </w:r>
          </w:p>
        </w:tc>
        <w:tc>
          <w:tcPr>
            <w:tcW w:w="2091" w:type="dxa"/>
            <w:tcBorders>
              <w:top w:val="single" w:sz="4" w:space="0" w:color="auto"/>
              <w:left w:val="single" w:sz="4" w:space="0" w:color="808080"/>
              <w:bottom w:val="nil"/>
              <w:right w:val="single" w:sz="4" w:space="0" w:color="808080"/>
            </w:tcBorders>
            <w:shd w:val="pct5" w:color="auto" w:fill="FFFFFF"/>
          </w:tcPr>
          <w:p w:rsidR="00C57287" w:rsidRPr="006E1493" w:rsidRDefault="00C57287" w:rsidP="00C57287">
            <w:pPr>
              <w:spacing w:before="120" w:after="120"/>
              <w:jc w:val="center"/>
              <w:rPr>
                <w:snapToGrid w:val="0"/>
                <w:lang w:eastAsia="en-US"/>
              </w:rPr>
            </w:pPr>
          </w:p>
        </w:tc>
        <w:tc>
          <w:tcPr>
            <w:tcW w:w="2018" w:type="dxa"/>
            <w:tcBorders>
              <w:top w:val="single" w:sz="4" w:space="0" w:color="auto"/>
              <w:left w:val="single" w:sz="4" w:space="0" w:color="808080"/>
              <w:bottom w:val="nil"/>
            </w:tcBorders>
            <w:shd w:val="pct5" w:color="auto" w:fill="FFFFFF"/>
          </w:tcPr>
          <w:p w:rsidR="00C57287" w:rsidRPr="006E1493" w:rsidRDefault="00C57287" w:rsidP="00C57287">
            <w:pPr>
              <w:tabs>
                <w:tab w:val="decimal" w:pos="1332"/>
              </w:tabs>
              <w:spacing w:before="120" w:after="120"/>
              <w:jc w:val="center"/>
              <w:rPr>
                <w:snapToGrid w:val="0"/>
                <w:lang w:eastAsia="en-US"/>
              </w:rPr>
            </w:pPr>
          </w:p>
        </w:tc>
      </w:tr>
      <w:tr w:rsidR="00C57287" w:rsidRPr="006E1493">
        <w:trPr>
          <w:trHeight w:val="520"/>
        </w:trPr>
        <w:tc>
          <w:tcPr>
            <w:tcW w:w="3687" w:type="dxa"/>
            <w:tcBorders>
              <w:top w:val="nil"/>
              <w:bottom w:val="nil"/>
              <w:right w:val="single" w:sz="4" w:space="0" w:color="808080"/>
            </w:tcBorders>
            <w:shd w:val="pct5" w:color="auto" w:fill="FFFFFF"/>
            <w:vAlign w:val="center"/>
          </w:tcPr>
          <w:p w:rsidR="00C57287" w:rsidRPr="006E1493" w:rsidRDefault="00C57287" w:rsidP="00C57287">
            <w:pPr>
              <w:tabs>
                <w:tab w:val="left" w:pos="508"/>
              </w:tabs>
              <w:ind w:left="508"/>
              <w:rPr>
                <w:snapToGrid w:val="0"/>
                <w:lang w:eastAsia="en-US"/>
              </w:rPr>
            </w:pPr>
            <w:r w:rsidRPr="006E1493">
              <w:rPr>
                <w:snapToGrid w:val="0"/>
                <w:lang w:eastAsia="en-US"/>
              </w:rPr>
              <w:t>Pensions in Payment</w:t>
            </w:r>
          </w:p>
        </w:tc>
        <w:tc>
          <w:tcPr>
            <w:tcW w:w="2091" w:type="dxa"/>
            <w:tcBorders>
              <w:top w:val="nil"/>
              <w:left w:val="single" w:sz="4" w:space="0" w:color="808080"/>
              <w:bottom w:val="nil"/>
              <w:right w:val="single" w:sz="4" w:space="0" w:color="808080"/>
            </w:tcBorders>
            <w:shd w:val="pct5" w:color="auto" w:fill="FFFFFF"/>
            <w:vAlign w:val="center"/>
          </w:tcPr>
          <w:p w:rsidR="00C57287" w:rsidRPr="006E1493" w:rsidRDefault="00281D11" w:rsidP="005D730F">
            <w:pPr>
              <w:jc w:val="center"/>
              <w:rPr>
                <w:snapToGrid w:val="0"/>
                <w:lang w:eastAsia="en-US"/>
              </w:rPr>
            </w:pPr>
            <w:r>
              <w:rPr>
                <w:snapToGrid w:val="0"/>
                <w:lang w:eastAsia="en-US"/>
              </w:rPr>
              <w:t>39,933</w:t>
            </w:r>
          </w:p>
        </w:tc>
        <w:tc>
          <w:tcPr>
            <w:tcW w:w="2018" w:type="dxa"/>
            <w:tcBorders>
              <w:top w:val="nil"/>
              <w:left w:val="single" w:sz="4" w:space="0" w:color="808080"/>
              <w:bottom w:val="nil"/>
            </w:tcBorders>
            <w:shd w:val="pct5" w:color="auto" w:fill="FFFFFF"/>
            <w:vAlign w:val="center"/>
          </w:tcPr>
          <w:p w:rsidR="00C57287" w:rsidRPr="006E1493" w:rsidRDefault="00D14D29" w:rsidP="00C57287">
            <w:pPr>
              <w:jc w:val="center"/>
              <w:rPr>
                <w:snapToGrid w:val="0"/>
                <w:lang w:eastAsia="en-US"/>
              </w:rPr>
            </w:pPr>
            <w:r>
              <w:rPr>
                <w:snapToGrid w:val="0"/>
                <w:lang w:eastAsia="en-US"/>
              </w:rPr>
              <w:t>37,632</w:t>
            </w:r>
          </w:p>
        </w:tc>
      </w:tr>
      <w:tr w:rsidR="00C57287" w:rsidRPr="006E1493">
        <w:trPr>
          <w:trHeight w:val="520"/>
        </w:trPr>
        <w:tc>
          <w:tcPr>
            <w:tcW w:w="3687" w:type="dxa"/>
            <w:tcBorders>
              <w:top w:val="nil"/>
              <w:bottom w:val="nil"/>
              <w:right w:val="single" w:sz="4" w:space="0" w:color="808080"/>
            </w:tcBorders>
            <w:shd w:val="pct5" w:color="auto" w:fill="FFFFFF"/>
            <w:vAlign w:val="center"/>
          </w:tcPr>
          <w:p w:rsidR="00C57287" w:rsidRPr="006E1493" w:rsidRDefault="00C57287" w:rsidP="00C57287">
            <w:pPr>
              <w:tabs>
                <w:tab w:val="left" w:pos="508"/>
              </w:tabs>
              <w:ind w:left="508"/>
              <w:rPr>
                <w:snapToGrid w:val="0"/>
                <w:lang w:eastAsia="en-US"/>
              </w:rPr>
            </w:pPr>
            <w:r w:rsidRPr="006E1493">
              <w:rPr>
                <w:snapToGrid w:val="0"/>
                <w:lang w:eastAsia="en-US"/>
              </w:rPr>
              <w:t>Preserved Pensions</w:t>
            </w:r>
          </w:p>
        </w:tc>
        <w:tc>
          <w:tcPr>
            <w:tcW w:w="2091" w:type="dxa"/>
            <w:tcBorders>
              <w:top w:val="nil"/>
              <w:left w:val="single" w:sz="4" w:space="0" w:color="808080"/>
              <w:bottom w:val="nil"/>
              <w:right w:val="single" w:sz="4" w:space="0" w:color="808080"/>
            </w:tcBorders>
            <w:shd w:val="pct5" w:color="auto" w:fill="FFFFFF"/>
            <w:vAlign w:val="center"/>
          </w:tcPr>
          <w:p w:rsidR="00C57287" w:rsidRPr="006E1493" w:rsidRDefault="00281D11" w:rsidP="005D730F">
            <w:pPr>
              <w:jc w:val="center"/>
              <w:rPr>
                <w:snapToGrid w:val="0"/>
                <w:lang w:eastAsia="en-US"/>
              </w:rPr>
            </w:pPr>
            <w:r>
              <w:rPr>
                <w:snapToGrid w:val="0"/>
                <w:lang w:eastAsia="en-US"/>
              </w:rPr>
              <w:t>47,526</w:t>
            </w:r>
          </w:p>
        </w:tc>
        <w:tc>
          <w:tcPr>
            <w:tcW w:w="2018" w:type="dxa"/>
            <w:tcBorders>
              <w:top w:val="nil"/>
              <w:left w:val="single" w:sz="4" w:space="0" w:color="808080"/>
              <w:bottom w:val="nil"/>
            </w:tcBorders>
            <w:shd w:val="pct5" w:color="auto" w:fill="FFFFFF"/>
            <w:vAlign w:val="center"/>
          </w:tcPr>
          <w:p w:rsidR="00C57287" w:rsidRPr="006E1493" w:rsidRDefault="00D14D29" w:rsidP="00C57287">
            <w:pPr>
              <w:jc w:val="center"/>
              <w:rPr>
                <w:snapToGrid w:val="0"/>
                <w:lang w:eastAsia="en-US"/>
              </w:rPr>
            </w:pPr>
            <w:r>
              <w:rPr>
                <w:snapToGrid w:val="0"/>
                <w:lang w:eastAsia="en-US"/>
              </w:rPr>
              <w:t>44,928</w:t>
            </w:r>
          </w:p>
        </w:tc>
      </w:tr>
      <w:tr w:rsidR="00E330E4" w:rsidRPr="00B07458">
        <w:trPr>
          <w:trHeight w:val="520"/>
        </w:trPr>
        <w:tc>
          <w:tcPr>
            <w:tcW w:w="3687" w:type="dxa"/>
            <w:tcBorders>
              <w:top w:val="nil"/>
              <w:bottom w:val="nil"/>
              <w:right w:val="single" w:sz="4" w:space="0" w:color="808080"/>
            </w:tcBorders>
            <w:shd w:val="pct5" w:color="auto" w:fill="FFFFFF"/>
            <w:vAlign w:val="center"/>
          </w:tcPr>
          <w:p w:rsidR="00E330E4" w:rsidRPr="006E1493" w:rsidRDefault="00E330E4" w:rsidP="00C57287">
            <w:pPr>
              <w:tabs>
                <w:tab w:val="left" w:pos="508"/>
              </w:tabs>
              <w:ind w:left="508"/>
              <w:rPr>
                <w:b/>
                <w:snapToGrid w:val="0"/>
                <w:lang w:eastAsia="en-US"/>
              </w:rPr>
            </w:pPr>
            <w:r w:rsidRPr="006E1493">
              <w:rPr>
                <w:b/>
                <w:snapToGrid w:val="0"/>
                <w:lang w:eastAsia="en-US"/>
              </w:rPr>
              <w:t>Total</w:t>
            </w:r>
          </w:p>
        </w:tc>
        <w:tc>
          <w:tcPr>
            <w:tcW w:w="2091" w:type="dxa"/>
            <w:tcBorders>
              <w:top w:val="single" w:sz="4" w:space="0" w:color="auto"/>
              <w:left w:val="single" w:sz="4" w:space="0" w:color="808080"/>
              <w:bottom w:val="double" w:sz="4" w:space="0" w:color="auto"/>
              <w:right w:val="single" w:sz="4" w:space="0" w:color="808080"/>
            </w:tcBorders>
            <w:shd w:val="pct5" w:color="auto" w:fill="FFFFFF"/>
          </w:tcPr>
          <w:p w:rsidR="00E330E4" w:rsidRPr="006E1493" w:rsidRDefault="00281D11" w:rsidP="005D730F">
            <w:pPr>
              <w:spacing w:before="120"/>
              <w:ind w:left="432" w:right="317"/>
              <w:jc w:val="center"/>
              <w:rPr>
                <w:b/>
                <w:snapToGrid w:val="0"/>
                <w:lang w:eastAsia="en-US"/>
              </w:rPr>
            </w:pPr>
            <w:r>
              <w:rPr>
                <w:b/>
                <w:snapToGrid w:val="0"/>
                <w:lang w:eastAsia="en-US"/>
              </w:rPr>
              <w:t>87,459</w:t>
            </w:r>
          </w:p>
        </w:tc>
        <w:tc>
          <w:tcPr>
            <w:tcW w:w="2018" w:type="dxa"/>
            <w:tcBorders>
              <w:top w:val="single" w:sz="4" w:space="0" w:color="auto"/>
              <w:left w:val="single" w:sz="4" w:space="0" w:color="808080"/>
              <w:bottom w:val="double" w:sz="4" w:space="0" w:color="auto"/>
            </w:tcBorders>
            <w:shd w:val="pct5" w:color="auto" w:fill="FFFFFF"/>
          </w:tcPr>
          <w:p w:rsidR="00E330E4" w:rsidRPr="006E1493" w:rsidRDefault="00D14D29" w:rsidP="00C57287">
            <w:pPr>
              <w:spacing w:before="120"/>
              <w:ind w:left="432" w:right="317"/>
              <w:jc w:val="center"/>
              <w:rPr>
                <w:b/>
                <w:snapToGrid w:val="0"/>
                <w:lang w:eastAsia="en-US"/>
              </w:rPr>
            </w:pPr>
            <w:r>
              <w:rPr>
                <w:b/>
                <w:snapToGrid w:val="0"/>
                <w:lang w:eastAsia="en-US"/>
              </w:rPr>
              <w:t>82,560</w:t>
            </w:r>
          </w:p>
        </w:tc>
      </w:tr>
      <w:tr w:rsidR="00C57287" w:rsidRPr="00B07458">
        <w:trPr>
          <w:trHeight w:hRule="exact" w:val="340"/>
        </w:trPr>
        <w:tc>
          <w:tcPr>
            <w:tcW w:w="3687" w:type="dxa"/>
            <w:tcBorders>
              <w:top w:val="nil"/>
              <w:bottom w:val="single" w:sz="4" w:space="0" w:color="auto"/>
              <w:right w:val="single" w:sz="4" w:space="0" w:color="808080"/>
            </w:tcBorders>
            <w:shd w:val="pct5" w:color="auto" w:fill="FFFFFF"/>
            <w:vAlign w:val="center"/>
          </w:tcPr>
          <w:p w:rsidR="00C57287" w:rsidRPr="00B07458" w:rsidRDefault="00C57287" w:rsidP="00C57287">
            <w:pPr>
              <w:tabs>
                <w:tab w:val="left" w:pos="508"/>
              </w:tabs>
              <w:ind w:left="508"/>
              <w:rPr>
                <w:b/>
                <w:snapToGrid w:val="0"/>
                <w:highlight w:val="yellow"/>
                <w:lang w:eastAsia="en-US"/>
              </w:rPr>
            </w:pPr>
          </w:p>
        </w:tc>
        <w:tc>
          <w:tcPr>
            <w:tcW w:w="2091" w:type="dxa"/>
            <w:tcBorders>
              <w:top w:val="single" w:sz="4" w:space="0" w:color="auto"/>
              <w:left w:val="single" w:sz="4" w:space="0" w:color="808080"/>
              <w:bottom w:val="single" w:sz="4" w:space="0" w:color="auto"/>
              <w:right w:val="single" w:sz="4" w:space="0" w:color="808080"/>
            </w:tcBorders>
            <w:shd w:val="pct5" w:color="auto" w:fill="FFFFFF"/>
          </w:tcPr>
          <w:p w:rsidR="00C57287" w:rsidRPr="00B07458" w:rsidRDefault="00C57287" w:rsidP="00C57287">
            <w:pPr>
              <w:spacing w:before="120"/>
              <w:ind w:left="432" w:right="317"/>
              <w:jc w:val="center"/>
              <w:rPr>
                <w:b/>
                <w:snapToGrid w:val="0"/>
                <w:highlight w:val="yellow"/>
                <w:lang w:eastAsia="en-US"/>
              </w:rPr>
            </w:pPr>
          </w:p>
        </w:tc>
        <w:tc>
          <w:tcPr>
            <w:tcW w:w="2018" w:type="dxa"/>
            <w:tcBorders>
              <w:top w:val="single" w:sz="4" w:space="0" w:color="auto"/>
              <w:left w:val="single" w:sz="4" w:space="0" w:color="808080"/>
              <w:bottom w:val="single" w:sz="4" w:space="0" w:color="auto"/>
            </w:tcBorders>
            <w:shd w:val="pct5" w:color="auto" w:fill="FFFFFF"/>
          </w:tcPr>
          <w:p w:rsidR="00C57287" w:rsidRPr="00B07458" w:rsidRDefault="00C57287" w:rsidP="00C57287">
            <w:pPr>
              <w:spacing w:before="120"/>
              <w:ind w:left="432" w:right="317"/>
              <w:jc w:val="center"/>
              <w:rPr>
                <w:b/>
                <w:snapToGrid w:val="0"/>
                <w:highlight w:val="yellow"/>
                <w:lang w:eastAsia="en-US"/>
              </w:rPr>
            </w:pPr>
          </w:p>
        </w:tc>
      </w:tr>
    </w:tbl>
    <w:p w:rsidR="00FC5EDB" w:rsidRPr="00B07458" w:rsidRDefault="00FC5EDB">
      <w:pPr>
        <w:rPr>
          <w:highlight w:val="yellow"/>
        </w:rPr>
      </w:pPr>
    </w:p>
    <w:p w:rsidR="00FC5EDB" w:rsidRPr="00B07458" w:rsidRDefault="00FC5EDB">
      <w:pPr>
        <w:pStyle w:val="Header"/>
        <w:rPr>
          <w:sz w:val="40"/>
          <w:highlight w:val="yellow"/>
        </w:rPr>
      </w:pPr>
    </w:p>
    <w:p w:rsidR="00C57287" w:rsidRPr="00B07458" w:rsidRDefault="00C57287">
      <w:pPr>
        <w:pStyle w:val="Header"/>
        <w:rPr>
          <w:sz w:val="40"/>
          <w:highlight w:val="yellow"/>
        </w:rPr>
      </w:pPr>
    </w:p>
    <w:p w:rsidR="00C57287" w:rsidRPr="00B07458" w:rsidRDefault="00C57287">
      <w:pPr>
        <w:pStyle w:val="Header"/>
        <w:rPr>
          <w:sz w:val="40"/>
          <w:highlight w:val="yellow"/>
        </w:rPr>
      </w:pPr>
    </w:p>
    <w:p w:rsidR="00C57287" w:rsidRPr="00B07458" w:rsidRDefault="00C57287">
      <w:pPr>
        <w:pStyle w:val="Header"/>
        <w:rPr>
          <w:sz w:val="40"/>
          <w:highlight w:val="yellow"/>
        </w:rPr>
      </w:pPr>
    </w:p>
    <w:p w:rsidR="00C57287" w:rsidRPr="00B07458" w:rsidRDefault="00C57287">
      <w:pPr>
        <w:pStyle w:val="Header"/>
        <w:rPr>
          <w:sz w:val="40"/>
          <w:highlight w:val="yellow"/>
        </w:rPr>
      </w:pPr>
    </w:p>
    <w:p w:rsidR="00C57287" w:rsidRPr="00B07458" w:rsidRDefault="00C57287">
      <w:pPr>
        <w:pStyle w:val="Header"/>
        <w:rPr>
          <w:sz w:val="40"/>
          <w:highlight w:val="yellow"/>
        </w:rPr>
      </w:pPr>
    </w:p>
    <w:p w:rsidR="00C57287" w:rsidRPr="00B07458" w:rsidRDefault="00C57287">
      <w:pPr>
        <w:pStyle w:val="Header"/>
        <w:rPr>
          <w:color w:val="0000FF"/>
          <w:sz w:val="40"/>
          <w:highlight w:val="yellow"/>
        </w:rPr>
      </w:pPr>
    </w:p>
    <w:p w:rsidR="00C57287" w:rsidRPr="00B07458" w:rsidRDefault="00C57287">
      <w:pPr>
        <w:pStyle w:val="Header"/>
        <w:rPr>
          <w:color w:val="0000FF"/>
          <w:sz w:val="40"/>
          <w:highlight w:val="yellow"/>
        </w:rPr>
      </w:pPr>
    </w:p>
    <w:p w:rsidR="00C57287" w:rsidRPr="00B07458" w:rsidRDefault="00C57287">
      <w:pPr>
        <w:pStyle w:val="Header"/>
        <w:rPr>
          <w:color w:val="0000FF"/>
          <w:sz w:val="40"/>
          <w:highlight w:val="yellow"/>
        </w:rPr>
      </w:pPr>
    </w:p>
    <w:p w:rsidR="00C57287" w:rsidRPr="00B07458" w:rsidRDefault="00C57287">
      <w:pPr>
        <w:pStyle w:val="Header"/>
        <w:rPr>
          <w:color w:val="0000FF"/>
          <w:sz w:val="40"/>
          <w:highlight w:val="yellow"/>
        </w:rPr>
      </w:pPr>
    </w:p>
    <w:p w:rsidR="00C57287" w:rsidRPr="00B07458" w:rsidRDefault="00C57287">
      <w:pPr>
        <w:pStyle w:val="Header"/>
        <w:rPr>
          <w:color w:val="0000FF"/>
          <w:sz w:val="40"/>
          <w:highlight w:val="yellow"/>
        </w:rPr>
      </w:pPr>
    </w:p>
    <w:p w:rsidR="00C57287" w:rsidRPr="00B07458" w:rsidRDefault="00C57287">
      <w:pPr>
        <w:pStyle w:val="Header"/>
        <w:rPr>
          <w:color w:val="0000FF"/>
          <w:sz w:val="40"/>
          <w:highlight w:val="yellow"/>
        </w:rPr>
      </w:pPr>
    </w:p>
    <w:p w:rsidR="00105321" w:rsidRPr="00B07458" w:rsidRDefault="00105321" w:rsidP="0032114B">
      <w:pPr>
        <w:jc w:val="both"/>
        <w:rPr>
          <w:highlight w:val="yellow"/>
        </w:rPr>
      </w:pPr>
    </w:p>
    <w:p w:rsidR="0032114B" w:rsidRPr="00B07458" w:rsidRDefault="0032114B" w:rsidP="0032114B">
      <w:pPr>
        <w:jc w:val="both"/>
        <w:rPr>
          <w:highlight w:val="yellow"/>
        </w:rPr>
      </w:pPr>
    </w:p>
    <w:p w:rsidR="0032114B" w:rsidRPr="00E622A6" w:rsidRDefault="0032114B" w:rsidP="0032114B">
      <w:pPr>
        <w:pStyle w:val="Heading4"/>
        <w:jc w:val="both"/>
        <w:rPr>
          <w:snapToGrid/>
          <w:u w:val="none"/>
        </w:rPr>
      </w:pPr>
      <w:r w:rsidRPr="00E622A6">
        <w:rPr>
          <w:snapToGrid/>
          <w:u w:val="none"/>
        </w:rPr>
        <w:t>Additional Voluntary Contributions (AVCs)</w:t>
      </w:r>
    </w:p>
    <w:p w:rsidR="0032114B" w:rsidRPr="00E622A6" w:rsidRDefault="0032114B" w:rsidP="0032114B">
      <w:pPr>
        <w:jc w:val="both"/>
      </w:pPr>
    </w:p>
    <w:p w:rsidR="0032114B" w:rsidRPr="00E622A6" w:rsidRDefault="0032114B" w:rsidP="0032114B">
      <w:pPr>
        <w:jc w:val="both"/>
      </w:pPr>
      <w:r w:rsidRPr="00E622A6">
        <w:t xml:space="preserve">The AVC providers to the Fund are </w:t>
      </w:r>
      <w:r w:rsidR="007A026A" w:rsidRPr="00E622A6">
        <w:t>Prudential and Equitable Life</w:t>
      </w:r>
      <w:r w:rsidRPr="00E622A6">
        <w:t>.  The AVCs are invested separately from the Fund's main assets and are used to acquire additional money purchase benefits.  Members participating in these AVC arrangements each receive an annual statement from the provider confirming the amounts held in their account and the movements during the year.</w:t>
      </w:r>
    </w:p>
    <w:p w:rsidR="0032114B" w:rsidRPr="00E622A6" w:rsidRDefault="0032114B" w:rsidP="0032114B">
      <w:pPr>
        <w:jc w:val="both"/>
      </w:pPr>
    </w:p>
    <w:p w:rsidR="0032114B" w:rsidRPr="00E622A6" w:rsidRDefault="00F27CEF" w:rsidP="001566C9">
      <w:pPr>
        <w:jc w:val="both"/>
      </w:pPr>
      <w:r>
        <w:t xml:space="preserve">Note </w:t>
      </w:r>
      <w:r w:rsidR="00281D11">
        <w:t>20</w:t>
      </w:r>
      <w:r w:rsidR="00F92C0A" w:rsidRPr="00E622A6">
        <w:t xml:space="preserve"> </w:t>
      </w:r>
      <w:r w:rsidR="0032114B" w:rsidRPr="00E622A6">
        <w:t xml:space="preserve">of the Notes to the Financial Statements of this report </w:t>
      </w:r>
      <w:r w:rsidR="00A63817" w:rsidRPr="00E622A6">
        <w:t>contain</w:t>
      </w:r>
      <w:r w:rsidR="0032114B" w:rsidRPr="00E622A6">
        <w:t xml:space="preserve"> a detailed breakdown of the current value of the Fund’s AVCs.</w:t>
      </w:r>
    </w:p>
    <w:p w:rsidR="001566C9" w:rsidRPr="00B07458" w:rsidRDefault="007E7044" w:rsidP="0032114B">
      <w:pPr>
        <w:jc w:val="both"/>
        <w:rPr>
          <w:highlight w:val="yellow"/>
        </w:rPr>
      </w:pPr>
      <w:r w:rsidRPr="00B07458">
        <w:rPr>
          <w:highlight w:val="yellow"/>
        </w:rPr>
        <w:br w:type="page"/>
      </w:r>
    </w:p>
    <w:p w:rsidR="001566C9" w:rsidRDefault="001566C9" w:rsidP="0032114B">
      <w:pPr>
        <w:jc w:val="both"/>
        <w:rPr>
          <w:b/>
        </w:rPr>
      </w:pPr>
      <w:r w:rsidRPr="00FB0AFF">
        <w:rPr>
          <w:b/>
        </w:rPr>
        <w:t>Risk Management</w:t>
      </w:r>
    </w:p>
    <w:p w:rsidR="00287FDF" w:rsidRPr="00FB0AFF" w:rsidRDefault="00287FDF" w:rsidP="0032114B">
      <w:pPr>
        <w:jc w:val="both"/>
        <w:rPr>
          <w:b/>
        </w:rPr>
      </w:pPr>
    </w:p>
    <w:p w:rsidR="00287FDF" w:rsidRPr="007A79FC" w:rsidRDefault="00287FDF" w:rsidP="00287FDF">
      <w:pPr>
        <w:pStyle w:val="Heading9"/>
        <w:spacing w:line="240" w:lineRule="auto"/>
        <w:rPr>
          <w:b w:val="0"/>
          <w:i w:val="0"/>
        </w:rPr>
      </w:pPr>
      <w:r w:rsidRPr="007A79FC">
        <w:rPr>
          <w:b w:val="0"/>
          <w:i w:val="0"/>
        </w:rPr>
        <w:t xml:space="preserve">The Fund's governance arrangements, described in this report, ensure that the management of </w:t>
      </w:r>
      <w:r w:rsidR="00BB10F6">
        <w:rPr>
          <w:b w:val="0"/>
          <w:i w:val="0"/>
        </w:rPr>
        <w:t xml:space="preserve">the </w:t>
      </w:r>
      <w:r w:rsidRPr="007A79FC">
        <w:rPr>
          <w:b w:val="0"/>
          <w:i w:val="0"/>
        </w:rPr>
        <w:t>fund</w:t>
      </w:r>
      <w:r w:rsidR="00BB10F6">
        <w:rPr>
          <w:b w:val="0"/>
          <w:i w:val="0"/>
        </w:rPr>
        <w:t>'s</w:t>
      </w:r>
      <w:r w:rsidRPr="007A79FC">
        <w:rPr>
          <w:b w:val="0"/>
          <w:i w:val="0"/>
        </w:rPr>
        <w:t xml:space="preserve"> administrative, management and investment risk is undertaken at the highest levels.  The Fund recognises that risk is inherent in its activities and makes extensive use of external advisers and industry best practice in assessing and establishing policies to identify and mitigate those risks.</w:t>
      </w:r>
    </w:p>
    <w:p w:rsidR="00287FDF" w:rsidRPr="007A79FC" w:rsidRDefault="00287FDF" w:rsidP="00287FDF">
      <w:pPr>
        <w:pStyle w:val="Heading9"/>
        <w:spacing w:line="240" w:lineRule="auto"/>
      </w:pPr>
    </w:p>
    <w:p w:rsidR="00287FDF" w:rsidRPr="007A79FC" w:rsidRDefault="00287FDF" w:rsidP="00287FDF">
      <w:pPr>
        <w:pStyle w:val="Heading9"/>
        <w:spacing w:line="240" w:lineRule="auto"/>
        <w:rPr>
          <w:b w:val="0"/>
          <w:i w:val="0"/>
        </w:rPr>
      </w:pPr>
      <w:r w:rsidRPr="007A79FC">
        <w:rPr>
          <w:b w:val="0"/>
          <w:i w:val="0"/>
        </w:rPr>
        <w:t>The Funding Strategy Statement</w:t>
      </w:r>
      <w:r w:rsidRPr="007A79FC">
        <w:rPr>
          <w:b w:val="0"/>
          <w:i w:val="0"/>
          <w:color w:val="FF0000"/>
        </w:rPr>
        <w:t xml:space="preserve"> </w:t>
      </w:r>
      <w:r w:rsidRPr="007A79FC">
        <w:rPr>
          <w:b w:val="0"/>
          <w:i w:val="0"/>
        </w:rPr>
        <w:t>identifies the risks, counter measures and monitoring and reviewing risks associated with the funding strategy of the Pension Fund.  The key risks are shown in Annex 3 of the Funding Strategy Statement.</w:t>
      </w:r>
      <w:r w:rsidR="00294682">
        <w:rPr>
          <w:b w:val="0"/>
          <w:i w:val="0"/>
        </w:rPr>
        <w:t xml:space="preserve"> </w:t>
      </w:r>
      <w:hyperlink r:id="rId15" w:history="1">
        <w:r w:rsidR="00294682" w:rsidRPr="00294682">
          <w:rPr>
            <w:rStyle w:val="Hyperlink"/>
            <w:b w:val="0"/>
            <w:i w:val="0"/>
          </w:rPr>
          <w:t>Funding Strategy Statement</w:t>
        </w:r>
      </w:hyperlink>
    </w:p>
    <w:p w:rsidR="00287FDF" w:rsidRPr="007A79FC" w:rsidRDefault="00287FDF" w:rsidP="00287FDF">
      <w:pPr>
        <w:pStyle w:val="Heading9"/>
        <w:spacing w:line="240" w:lineRule="auto"/>
        <w:rPr>
          <w:b w:val="0"/>
          <w:i w:val="0"/>
        </w:rPr>
      </w:pPr>
    </w:p>
    <w:p w:rsidR="00287FDF" w:rsidRPr="007A79FC" w:rsidRDefault="00287FDF" w:rsidP="00287FDF">
      <w:pPr>
        <w:pStyle w:val="Heading9"/>
        <w:spacing w:line="240" w:lineRule="auto"/>
        <w:rPr>
          <w:b w:val="0"/>
          <w:i w:val="0"/>
        </w:rPr>
      </w:pPr>
      <w:r w:rsidRPr="007A79FC">
        <w:rPr>
          <w:b w:val="0"/>
          <w:i w:val="0"/>
        </w:rPr>
        <w:t>The policy in respect of investment risk, including monitoring and review of performance is found in the Statement of Investment Principles.</w:t>
      </w:r>
      <w:r w:rsidR="009F30A5">
        <w:rPr>
          <w:b w:val="0"/>
          <w:i w:val="0"/>
        </w:rPr>
        <w:t xml:space="preserve"> </w:t>
      </w:r>
      <w:hyperlink r:id="rId16" w:history="1">
        <w:r w:rsidR="009F30A5" w:rsidRPr="009F30A5">
          <w:rPr>
            <w:rStyle w:val="Hyperlink"/>
            <w:b w:val="0"/>
            <w:i w:val="0"/>
          </w:rPr>
          <w:t>Statement of Investment Principles</w:t>
        </w:r>
      </w:hyperlink>
    </w:p>
    <w:p w:rsidR="00287FDF" w:rsidRPr="007A79FC" w:rsidRDefault="00287FDF" w:rsidP="00287FDF">
      <w:pPr>
        <w:pStyle w:val="Heading9"/>
        <w:spacing w:line="240" w:lineRule="auto"/>
        <w:rPr>
          <w:b w:val="0"/>
          <w:i w:val="0"/>
        </w:rPr>
      </w:pPr>
    </w:p>
    <w:p w:rsidR="00287FDF" w:rsidRPr="00FB0AFF" w:rsidRDefault="00287FDF" w:rsidP="00287FDF">
      <w:pPr>
        <w:pStyle w:val="Heading9"/>
        <w:spacing w:line="240" w:lineRule="auto"/>
      </w:pPr>
      <w:r w:rsidRPr="007A79FC">
        <w:rPr>
          <w:b w:val="0"/>
          <w:i w:val="0"/>
        </w:rPr>
        <w:t>The County Council's Annual Governance Statement identifies how the system of internal control throughout the County Council is designed to manage risk.</w:t>
      </w:r>
      <w:r w:rsidR="009F30A5">
        <w:rPr>
          <w:b w:val="0"/>
          <w:i w:val="0"/>
        </w:rPr>
        <w:t xml:space="preserve"> </w:t>
      </w:r>
      <w:hyperlink r:id="rId17" w:history="1">
        <w:r w:rsidR="009F30A5" w:rsidRPr="009F30A5">
          <w:rPr>
            <w:rStyle w:val="Hyperlink"/>
            <w:b w:val="0"/>
            <w:i w:val="0"/>
          </w:rPr>
          <w:t>Annual Governance Statement</w:t>
        </w:r>
      </w:hyperlink>
    </w:p>
    <w:p w:rsidR="007926D1" w:rsidRPr="00B07458" w:rsidRDefault="00E23284">
      <w:pPr>
        <w:pStyle w:val="Heading9"/>
        <w:spacing w:line="240" w:lineRule="auto"/>
        <w:rPr>
          <w:highlight w:val="yellow"/>
        </w:rPr>
      </w:pPr>
      <w:r w:rsidRPr="00B07458">
        <w:rPr>
          <w:b w:val="0"/>
          <w:i w:val="0"/>
          <w:highlight w:val="yellow"/>
        </w:rPr>
        <w:br w:type="page"/>
      </w:r>
    </w:p>
    <w:p w:rsidR="001566C9" w:rsidRPr="00EE6902" w:rsidRDefault="001566C9" w:rsidP="00011588">
      <w:pPr>
        <w:numPr>
          <w:ilvl w:val="0"/>
          <w:numId w:val="10"/>
        </w:numPr>
      </w:pPr>
      <w:r w:rsidRPr="00EE6902">
        <w:rPr>
          <w:b/>
          <w:sz w:val="28"/>
          <w:szCs w:val="28"/>
        </w:rPr>
        <w:t>Investment Policy and Performance</w:t>
      </w:r>
    </w:p>
    <w:p w:rsidR="00C333F3" w:rsidRPr="00EE6902" w:rsidRDefault="00C333F3" w:rsidP="00C333F3">
      <w:pPr>
        <w:rPr>
          <w:b/>
          <w:sz w:val="28"/>
          <w:szCs w:val="28"/>
        </w:rPr>
      </w:pPr>
    </w:p>
    <w:p w:rsidR="00C333F3" w:rsidRPr="00281D11" w:rsidRDefault="00C333F3" w:rsidP="00C333F3">
      <w:pPr>
        <w:autoSpaceDE w:val="0"/>
        <w:autoSpaceDN w:val="0"/>
        <w:adjustRightInd w:val="0"/>
        <w:rPr>
          <w:rFonts w:ascii="Arial-BoldMT" w:hAnsi="Arial-BoldMT" w:cs="Arial-BoldMT"/>
          <w:b/>
          <w:bCs/>
          <w:szCs w:val="24"/>
        </w:rPr>
      </w:pPr>
      <w:r w:rsidRPr="00281D11">
        <w:rPr>
          <w:rFonts w:ascii="Arial-BoldMT" w:hAnsi="Arial-BoldMT" w:cs="Arial-BoldMT"/>
          <w:b/>
          <w:bCs/>
          <w:szCs w:val="24"/>
        </w:rPr>
        <w:t>Structure</w:t>
      </w:r>
    </w:p>
    <w:p w:rsidR="001327AB" w:rsidRPr="00281D11" w:rsidRDefault="001327AB" w:rsidP="00C333F3">
      <w:pPr>
        <w:autoSpaceDE w:val="0"/>
        <w:autoSpaceDN w:val="0"/>
        <w:adjustRightInd w:val="0"/>
        <w:rPr>
          <w:rFonts w:ascii="Arial-BoldMT" w:hAnsi="Arial-BoldMT" w:cs="Arial-BoldMT"/>
          <w:b/>
          <w:bCs/>
          <w:szCs w:val="24"/>
        </w:rPr>
      </w:pPr>
    </w:p>
    <w:p w:rsidR="001327AB" w:rsidRPr="005D170B" w:rsidRDefault="001327AB" w:rsidP="001327AB">
      <w:pPr>
        <w:autoSpaceDE w:val="0"/>
        <w:autoSpaceDN w:val="0"/>
        <w:adjustRightInd w:val="0"/>
        <w:rPr>
          <w:rFonts w:ascii="ArialMT" w:hAnsi="ArialMT" w:cs="ArialMT"/>
        </w:rPr>
      </w:pPr>
      <w:r w:rsidRPr="00281D11">
        <w:rPr>
          <w:rFonts w:ascii="ArialMT" w:hAnsi="ArialMT" w:cs="ArialMT"/>
        </w:rPr>
        <w:t>There are three levels of responsibility for the investment management of the Lancashire County Pension Fund (the "Fund"). First, the county council’s Pension Fund Committee (the "Committee") takes major policy decisions and monitors overall performance</w:t>
      </w:r>
      <w:r w:rsidR="009F30A5">
        <w:rPr>
          <w:rFonts w:ascii="ArialMT" w:hAnsi="ArialMT" w:cs="ArialMT"/>
        </w:rPr>
        <w:t>, details of which can be found in the</w:t>
      </w:r>
      <w:r w:rsidRPr="00281D11">
        <w:rPr>
          <w:rFonts w:ascii="ArialMT" w:hAnsi="ArialMT" w:cs="ArialMT"/>
        </w:rPr>
        <w:t xml:space="preserve"> Statement of Investment Principles </w:t>
      </w:r>
      <w:hyperlink r:id="rId18" w:history="1">
        <w:r w:rsidR="009F30A5" w:rsidRPr="009F30A5">
          <w:rPr>
            <w:rStyle w:val="Hyperlink"/>
            <w:rFonts w:ascii="ArialMT" w:hAnsi="ArialMT" w:cs="ArialMT"/>
          </w:rPr>
          <w:t>Statement of Investment Principles</w:t>
        </w:r>
      </w:hyperlink>
      <w:r w:rsidR="009F30A5">
        <w:rPr>
          <w:rFonts w:ascii="ArialMT" w:hAnsi="ArialMT" w:cs="ArialMT"/>
        </w:rPr>
        <w:t xml:space="preserve">. </w:t>
      </w:r>
      <w:r w:rsidRPr="00281D11">
        <w:rPr>
          <w:rFonts w:ascii="ArialMT" w:hAnsi="ArialMT" w:cs="ArialMT"/>
          <w:color w:val="C00000"/>
        </w:rPr>
        <w:t xml:space="preserve"> </w:t>
      </w:r>
      <w:r w:rsidRPr="00281D11">
        <w:rPr>
          <w:rFonts w:ascii="ArialMT" w:hAnsi="ArialMT" w:cs="ArialMT"/>
        </w:rPr>
        <w:t xml:space="preserve">Second, the Investment Panel (the "Panel") recommends </w:t>
      </w:r>
      <w:r w:rsidR="001C3101">
        <w:rPr>
          <w:rFonts w:ascii="ArialMT" w:hAnsi="ArialMT" w:cs="ArialMT"/>
        </w:rPr>
        <w:t>specific investment allocations in line with the Committee's policy decisions</w:t>
      </w:r>
      <w:r w:rsidRPr="00281D11">
        <w:rPr>
          <w:rFonts w:ascii="ArialMT" w:hAnsi="ArialMT" w:cs="ArialMT"/>
        </w:rPr>
        <w:t xml:space="preserve"> and monitors the activity of the Fund’s managers. Third, the investment managers fix precise weightings and select stock within the allocations set by the Panel and Committee. A more detailed description of the responsibilities of the Committee, its Sub-Committees and the Panel is found in the</w:t>
      </w:r>
      <w:r w:rsidRPr="00281D11">
        <w:rPr>
          <w:rFonts w:ascii="ArialMT" w:hAnsi="ArialMT" w:cs="ArialMT"/>
          <w:color w:val="C00000"/>
        </w:rPr>
        <w:t xml:space="preserve"> </w:t>
      </w:r>
      <w:r w:rsidRPr="00281D11">
        <w:rPr>
          <w:rFonts w:ascii="ArialMT" w:hAnsi="ArialMT" w:cs="ArialMT"/>
        </w:rPr>
        <w:t>Governance Policy Statement</w:t>
      </w:r>
      <w:r w:rsidR="005D170B" w:rsidRPr="00281D11">
        <w:rPr>
          <w:rFonts w:ascii="ArialMT" w:hAnsi="ArialMT" w:cs="ArialMT"/>
        </w:rPr>
        <w:t>.</w:t>
      </w:r>
      <w:r w:rsidR="009F30A5">
        <w:rPr>
          <w:rFonts w:ascii="ArialMT" w:hAnsi="ArialMT" w:cs="ArialMT"/>
        </w:rPr>
        <w:t xml:space="preserve"> </w:t>
      </w:r>
      <w:hyperlink r:id="rId19" w:history="1">
        <w:r w:rsidR="009F30A5" w:rsidRPr="009F30A5">
          <w:rPr>
            <w:rStyle w:val="Hyperlink"/>
            <w:rFonts w:ascii="ArialMT" w:hAnsi="ArialMT" w:cs="ArialMT"/>
          </w:rPr>
          <w:t>Governance Policy Statement</w:t>
        </w:r>
      </w:hyperlink>
    </w:p>
    <w:p w:rsidR="001327AB" w:rsidRPr="0029252C" w:rsidRDefault="001327AB" w:rsidP="001327AB">
      <w:pPr>
        <w:autoSpaceDE w:val="0"/>
        <w:autoSpaceDN w:val="0"/>
        <w:adjustRightInd w:val="0"/>
        <w:rPr>
          <w:rFonts w:ascii="ArialMT" w:hAnsi="ArialMT" w:cs="ArialMT"/>
        </w:rPr>
      </w:pPr>
    </w:p>
    <w:p w:rsidR="001327AB" w:rsidRDefault="001327AB" w:rsidP="001327AB">
      <w:pPr>
        <w:autoSpaceDE w:val="0"/>
        <w:autoSpaceDN w:val="0"/>
        <w:adjustRightInd w:val="0"/>
        <w:rPr>
          <w:rFonts w:ascii="ArialMT" w:hAnsi="ArialMT" w:cs="ArialMT"/>
        </w:rPr>
      </w:pPr>
      <w:r w:rsidRPr="0029252C">
        <w:rPr>
          <w:rFonts w:ascii="ArialMT" w:hAnsi="ArialMT" w:cs="ArialMT"/>
        </w:rPr>
        <w:t>The Panel consists of two independent external investment advisers</w:t>
      </w:r>
      <w:r>
        <w:rPr>
          <w:rFonts w:ascii="ArialMT" w:hAnsi="ArialMT" w:cs="ArialMT"/>
        </w:rPr>
        <w:t>, the Chief Investment Officer, the Deputy County Treasurer</w:t>
      </w:r>
      <w:r w:rsidRPr="0029252C">
        <w:rPr>
          <w:rFonts w:ascii="ArialMT" w:hAnsi="ArialMT" w:cs="ArialMT"/>
        </w:rPr>
        <w:t xml:space="preserve"> and the Treasurer to the Pension Fund, who acts as Chair. The </w:t>
      </w:r>
      <w:r w:rsidR="00BB10F6">
        <w:rPr>
          <w:rFonts w:ascii="ArialMT" w:hAnsi="ArialMT" w:cs="ArialMT"/>
        </w:rPr>
        <w:t xml:space="preserve">investments of the </w:t>
      </w:r>
      <w:r w:rsidRPr="0029252C">
        <w:rPr>
          <w:rFonts w:ascii="ArialMT" w:hAnsi="ArialMT" w:cs="ArialMT"/>
        </w:rPr>
        <w:t xml:space="preserve">Fund </w:t>
      </w:r>
      <w:r w:rsidR="00BB10F6">
        <w:rPr>
          <w:rFonts w:ascii="ArialMT" w:hAnsi="ArialMT" w:cs="ArialMT"/>
        </w:rPr>
        <w:t xml:space="preserve">are </w:t>
      </w:r>
      <w:r w:rsidRPr="0029252C">
        <w:rPr>
          <w:rFonts w:ascii="ArialMT" w:hAnsi="ArialMT" w:cs="ArialMT"/>
        </w:rPr>
        <w:t xml:space="preserve">currently managed </w:t>
      </w:r>
      <w:r w:rsidR="00980A45">
        <w:rPr>
          <w:rFonts w:ascii="ArialMT" w:hAnsi="ArialMT" w:cs="ArialMT"/>
        </w:rPr>
        <w:t>by s</w:t>
      </w:r>
      <w:r w:rsidR="00281D11">
        <w:rPr>
          <w:rFonts w:ascii="ArialMT" w:hAnsi="ArialMT" w:cs="ArialMT"/>
        </w:rPr>
        <w:t>ix</w:t>
      </w:r>
      <w:r w:rsidRPr="0029252C">
        <w:rPr>
          <w:rFonts w:ascii="ArialMT" w:hAnsi="ArialMT" w:cs="ArialMT"/>
        </w:rPr>
        <w:t xml:space="preserve"> specialist external managers</w:t>
      </w:r>
      <w:r w:rsidR="008961F0">
        <w:rPr>
          <w:rFonts w:ascii="ArialMT" w:hAnsi="ArialMT" w:cs="ArialMT"/>
        </w:rPr>
        <w:t>,</w:t>
      </w:r>
      <w:r w:rsidRPr="0029252C">
        <w:rPr>
          <w:rFonts w:ascii="ArialMT" w:hAnsi="ArialMT" w:cs="ArialMT"/>
        </w:rPr>
        <w:t xml:space="preserve"> one external index-tracking manager (multi-asset) </w:t>
      </w:r>
      <w:r w:rsidR="0062759D">
        <w:rPr>
          <w:rFonts w:ascii="ArialMT" w:hAnsi="ArialMT" w:cs="ArialMT"/>
        </w:rPr>
        <w:t xml:space="preserve">and </w:t>
      </w:r>
      <w:r w:rsidR="0062759D" w:rsidRPr="0029252C">
        <w:rPr>
          <w:rFonts w:ascii="ArialMT" w:hAnsi="ArialMT" w:cs="ArialMT"/>
        </w:rPr>
        <w:t>in</w:t>
      </w:r>
      <w:r w:rsidRPr="0029252C">
        <w:rPr>
          <w:rFonts w:ascii="ArialMT" w:hAnsi="ArialMT" w:cs="ArialMT"/>
        </w:rPr>
        <w:t xml:space="preserve">-house. </w:t>
      </w:r>
      <w:r w:rsidR="008961F0">
        <w:rPr>
          <w:rFonts w:ascii="ArialMT" w:hAnsi="ArialMT" w:cs="ArialMT"/>
        </w:rPr>
        <w:t xml:space="preserve">In-house, the Fund carries out its own treasury management and holds investments in infrastructure funds and non-investment grade credit funds directly.  </w:t>
      </w:r>
      <w:r w:rsidRPr="0029252C">
        <w:rPr>
          <w:rFonts w:ascii="ArialMT" w:hAnsi="ArialMT" w:cs="ArialMT"/>
        </w:rPr>
        <w:t>The various mandates, including their value at 31 March 20</w:t>
      </w:r>
      <w:r>
        <w:rPr>
          <w:rFonts w:ascii="ArialMT" w:hAnsi="ArialMT" w:cs="ArialMT"/>
        </w:rPr>
        <w:t>1</w:t>
      </w:r>
      <w:r w:rsidR="00281D11">
        <w:rPr>
          <w:rFonts w:ascii="ArialMT" w:hAnsi="ArialMT" w:cs="ArialMT"/>
        </w:rPr>
        <w:t>2</w:t>
      </w:r>
      <w:r w:rsidRPr="0029252C">
        <w:rPr>
          <w:rFonts w:ascii="ArialMT" w:hAnsi="ArialMT" w:cs="ArialMT"/>
        </w:rPr>
        <w:t xml:space="preserve"> are shown below.</w:t>
      </w:r>
    </w:p>
    <w:p w:rsidR="001327AB" w:rsidRDefault="001327AB" w:rsidP="00C333F3">
      <w:pPr>
        <w:autoSpaceDE w:val="0"/>
        <w:autoSpaceDN w:val="0"/>
        <w:adjustRightInd w:val="0"/>
        <w:rPr>
          <w:rFonts w:ascii="Arial-BoldMT" w:hAnsi="Arial-BoldMT" w:cs="Arial-BoldMT"/>
          <w:b/>
          <w:bCs/>
          <w:szCs w:val="24"/>
          <w:highlight w:val="yellow"/>
        </w:rPr>
      </w:pPr>
    </w:p>
    <w:p w:rsidR="001327AB" w:rsidRDefault="001327AB" w:rsidP="00C333F3">
      <w:pPr>
        <w:autoSpaceDE w:val="0"/>
        <w:autoSpaceDN w:val="0"/>
        <w:adjustRightInd w:val="0"/>
        <w:rPr>
          <w:rFonts w:ascii="Arial-BoldMT" w:hAnsi="Arial-BoldMT" w:cs="Arial-BoldMT"/>
          <w:b/>
          <w:bCs/>
          <w:szCs w:val="24"/>
          <w:highlight w:val="yellow"/>
        </w:rPr>
      </w:pPr>
    </w:p>
    <w:tbl>
      <w:tblPr>
        <w:tblW w:w="0" w:type="auto"/>
        <w:tblLook w:val="00A0"/>
      </w:tblPr>
      <w:tblGrid>
        <w:gridCol w:w="817"/>
        <w:gridCol w:w="4394"/>
        <w:gridCol w:w="3089"/>
        <w:gridCol w:w="1553"/>
      </w:tblGrid>
      <w:tr w:rsidR="001327AB" w:rsidRPr="005C60A7" w:rsidTr="001327AB">
        <w:tc>
          <w:tcPr>
            <w:tcW w:w="817" w:type="dxa"/>
          </w:tcPr>
          <w:p w:rsidR="001327AB" w:rsidRPr="005C60A7" w:rsidRDefault="001327AB" w:rsidP="001327AB">
            <w:pPr>
              <w:rPr>
                <w:b/>
                <w:bCs/>
                <w:snapToGrid w:val="0"/>
                <w:lang w:eastAsia="en-US"/>
              </w:rPr>
            </w:pPr>
          </w:p>
        </w:tc>
        <w:tc>
          <w:tcPr>
            <w:tcW w:w="4394" w:type="dxa"/>
            <w:vAlign w:val="center"/>
          </w:tcPr>
          <w:p w:rsidR="001327AB" w:rsidRPr="005C60A7" w:rsidRDefault="001327AB" w:rsidP="001327AB">
            <w:pPr>
              <w:rPr>
                <w:b/>
                <w:bCs/>
                <w:sz w:val="28"/>
                <w:szCs w:val="28"/>
              </w:rPr>
            </w:pPr>
            <w:r w:rsidRPr="005C60A7">
              <w:rPr>
                <w:b/>
                <w:bCs/>
                <w:snapToGrid w:val="0"/>
                <w:sz w:val="22"/>
                <w:szCs w:val="22"/>
                <w:lang w:eastAsia="en-US"/>
              </w:rPr>
              <w:t>Manager</w:t>
            </w:r>
          </w:p>
        </w:tc>
        <w:tc>
          <w:tcPr>
            <w:tcW w:w="3089" w:type="dxa"/>
            <w:vAlign w:val="center"/>
          </w:tcPr>
          <w:p w:rsidR="001327AB" w:rsidRPr="005C60A7" w:rsidRDefault="001327AB" w:rsidP="001327AB">
            <w:pPr>
              <w:rPr>
                <w:b/>
                <w:bCs/>
                <w:sz w:val="28"/>
                <w:szCs w:val="28"/>
              </w:rPr>
            </w:pPr>
            <w:r w:rsidRPr="005C60A7">
              <w:rPr>
                <w:b/>
                <w:bCs/>
                <w:snapToGrid w:val="0"/>
                <w:sz w:val="22"/>
                <w:szCs w:val="22"/>
                <w:lang w:eastAsia="en-US"/>
              </w:rPr>
              <w:t>Mandate</w:t>
            </w:r>
          </w:p>
        </w:tc>
        <w:tc>
          <w:tcPr>
            <w:tcW w:w="1553" w:type="dxa"/>
            <w:vAlign w:val="center"/>
          </w:tcPr>
          <w:p w:rsidR="001327AB" w:rsidRPr="005C60A7" w:rsidRDefault="001327AB" w:rsidP="001327AB">
            <w:pPr>
              <w:spacing w:after="120"/>
              <w:jc w:val="center"/>
              <w:rPr>
                <w:b/>
                <w:bCs/>
                <w:snapToGrid w:val="0"/>
                <w:lang w:eastAsia="en-US"/>
              </w:rPr>
            </w:pPr>
            <w:r w:rsidRPr="005C60A7">
              <w:rPr>
                <w:b/>
                <w:bCs/>
                <w:snapToGrid w:val="0"/>
                <w:sz w:val="22"/>
                <w:szCs w:val="22"/>
                <w:lang w:eastAsia="en-US"/>
              </w:rPr>
              <w:t>Value</w:t>
            </w:r>
          </w:p>
          <w:p w:rsidR="001327AB" w:rsidRDefault="001327AB" w:rsidP="0043789A">
            <w:pPr>
              <w:jc w:val="center"/>
              <w:rPr>
                <w:b/>
                <w:bCs/>
                <w:snapToGrid w:val="0"/>
                <w:sz w:val="22"/>
                <w:szCs w:val="22"/>
                <w:lang w:eastAsia="en-US"/>
              </w:rPr>
            </w:pPr>
            <w:r w:rsidRPr="005C60A7">
              <w:rPr>
                <w:b/>
                <w:bCs/>
                <w:snapToGrid w:val="0"/>
                <w:sz w:val="22"/>
                <w:szCs w:val="22"/>
                <w:lang w:eastAsia="en-US"/>
              </w:rPr>
              <w:t>£</w:t>
            </w:r>
            <w:r w:rsidR="00281D11">
              <w:rPr>
                <w:b/>
                <w:bCs/>
                <w:snapToGrid w:val="0"/>
                <w:sz w:val="22"/>
                <w:szCs w:val="22"/>
                <w:lang w:eastAsia="en-US"/>
              </w:rPr>
              <w:t>m</w:t>
            </w:r>
          </w:p>
          <w:p w:rsidR="0043789A" w:rsidRDefault="0043789A" w:rsidP="0043789A">
            <w:pPr>
              <w:jc w:val="center"/>
              <w:rPr>
                <w:b/>
                <w:bCs/>
                <w:sz w:val="28"/>
                <w:szCs w:val="28"/>
              </w:rPr>
            </w:pPr>
          </w:p>
        </w:tc>
      </w:tr>
      <w:tr w:rsidR="001327AB" w:rsidRPr="005C60A7" w:rsidTr="001327AB">
        <w:trPr>
          <w:trHeight w:val="454"/>
        </w:trPr>
        <w:tc>
          <w:tcPr>
            <w:tcW w:w="817" w:type="dxa"/>
          </w:tcPr>
          <w:p w:rsidR="001327AB" w:rsidRPr="005C60A7" w:rsidRDefault="001327AB" w:rsidP="001327AB">
            <w:pPr>
              <w:rPr>
                <w:snapToGrid w:val="0"/>
                <w:lang w:eastAsia="en-US"/>
              </w:rPr>
            </w:pPr>
          </w:p>
        </w:tc>
        <w:tc>
          <w:tcPr>
            <w:tcW w:w="4394" w:type="dxa"/>
            <w:vAlign w:val="center"/>
          </w:tcPr>
          <w:p w:rsidR="001327AB" w:rsidRPr="005C60A7" w:rsidRDefault="001327AB" w:rsidP="001327AB">
            <w:pPr>
              <w:rPr>
                <w:b/>
                <w:bCs/>
                <w:sz w:val="28"/>
                <w:szCs w:val="28"/>
              </w:rPr>
            </w:pPr>
            <w:r w:rsidRPr="005C60A7">
              <w:rPr>
                <w:snapToGrid w:val="0"/>
                <w:sz w:val="22"/>
                <w:szCs w:val="22"/>
                <w:lang w:eastAsia="en-US"/>
              </w:rPr>
              <w:t>Legal &amp; General Investment</w:t>
            </w:r>
            <w:r>
              <w:rPr>
                <w:snapToGrid w:val="0"/>
                <w:sz w:val="22"/>
                <w:szCs w:val="22"/>
                <w:lang w:eastAsia="en-US"/>
              </w:rPr>
              <w:t xml:space="preserve"> </w:t>
            </w:r>
            <w:r w:rsidRPr="005C60A7">
              <w:rPr>
                <w:snapToGrid w:val="0"/>
                <w:sz w:val="22"/>
                <w:szCs w:val="22"/>
                <w:lang w:eastAsia="en-US"/>
              </w:rPr>
              <w:t>Management</w:t>
            </w:r>
          </w:p>
        </w:tc>
        <w:tc>
          <w:tcPr>
            <w:tcW w:w="3089" w:type="dxa"/>
            <w:vAlign w:val="center"/>
          </w:tcPr>
          <w:p w:rsidR="001327AB" w:rsidRPr="00566593" w:rsidRDefault="001327AB" w:rsidP="001327AB">
            <w:pPr>
              <w:rPr>
                <w:snapToGrid w:val="0"/>
                <w:lang w:eastAsia="en-US"/>
              </w:rPr>
            </w:pPr>
            <w:r w:rsidRPr="005C60A7">
              <w:rPr>
                <w:snapToGrid w:val="0"/>
                <w:sz w:val="22"/>
                <w:szCs w:val="22"/>
                <w:lang w:eastAsia="en-US"/>
              </w:rPr>
              <w:t>Index tracking - multi asset</w:t>
            </w:r>
          </w:p>
        </w:tc>
        <w:tc>
          <w:tcPr>
            <w:tcW w:w="1553" w:type="dxa"/>
            <w:vAlign w:val="center"/>
          </w:tcPr>
          <w:p w:rsidR="001327AB" w:rsidRDefault="001327AB" w:rsidP="00BA02D9">
            <w:pPr>
              <w:jc w:val="right"/>
              <w:rPr>
                <w:b/>
                <w:bCs/>
                <w:sz w:val="28"/>
                <w:szCs w:val="28"/>
              </w:rPr>
            </w:pPr>
            <w:r w:rsidRPr="005C60A7">
              <w:rPr>
                <w:snapToGrid w:val="0"/>
                <w:sz w:val="22"/>
                <w:szCs w:val="22"/>
                <w:lang w:eastAsia="en-US"/>
              </w:rPr>
              <w:t>1,</w:t>
            </w:r>
            <w:r w:rsidR="00281D11">
              <w:rPr>
                <w:snapToGrid w:val="0"/>
                <w:sz w:val="22"/>
                <w:szCs w:val="22"/>
                <w:lang w:eastAsia="en-US"/>
              </w:rPr>
              <w:t>057.4</w:t>
            </w:r>
          </w:p>
        </w:tc>
      </w:tr>
      <w:tr w:rsidR="001327AB" w:rsidRPr="005C60A7" w:rsidTr="001327AB">
        <w:trPr>
          <w:trHeight w:val="454"/>
        </w:trPr>
        <w:tc>
          <w:tcPr>
            <w:tcW w:w="817" w:type="dxa"/>
          </w:tcPr>
          <w:p w:rsidR="001327AB" w:rsidRPr="005C60A7" w:rsidRDefault="001327AB" w:rsidP="001327AB">
            <w:pPr>
              <w:rPr>
                <w:snapToGrid w:val="0"/>
                <w:lang w:eastAsia="en-US"/>
              </w:rPr>
            </w:pPr>
          </w:p>
        </w:tc>
        <w:tc>
          <w:tcPr>
            <w:tcW w:w="4394" w:type="dxa"/>
            <w:vAlign w:val="center"/>
          </w:tcPr>
          <w:p w:rsidR="001327AB" w:rsidRPr="005C60A7" w:rsidRDefault="001327AB" w:rsidP="001327AB">
            <w:pPr>
              <w:rPr>
                <w:b/>
                <w:bCs/>
                <w:sz w:val="28"/>
                <w:szCs w:val="28"/>
              </w:rPr>
            </w:pPr>
            <w:r w:rsidRPr="005C60A7">
              <w:rPr>
                <w:snapToGrid w:val="0"/>
                <w:sz w:val="22"/>
                <w:szCs w:val="22"/>
                <w:lang w:eastAsia="en-US"/>
              </w:rPr>
              <w:t>Newton Investment Management</w:t>
            </w:r>
          </w:p>
        </w:tc>
        <w:tc>
          <w:tcPr>
            <w:tcW w:w="3089" w:type="dxa"/>
            <w:vAlign w:val="center"/>
          </w:tcPr>
          <w:p w:rsidR="001327AB" w:rsidRPr="005C60A7" w:rsidRDefault="001327AB" w:rsidP="001327AB">
            <w:pPr>
              <w:rPr>
                <w:b/>
                <w:bCs/>
                <w:sz w:val="28"/>
                <w:szCs w:val="28"/>
              </w:rPr>
            </w:pPr>
            <w:r w:rsidRPr="005C60A7">
              <w:rPr>
                <w:snapToGrid w:val="0"/>
                <w:sz w:val="22"/>
                <w:szCs w:val="22"/>
                <w:lang w:eastAsia="en-US"/>
              </w:rPr>
              <w:t>Global Equities</w:t>
            </w:r>
          </w:p>
        </w:tc>
        <w:tc>
          <w:tcPr>
            <w:tcW w:w="1553" w:type="dxa"/>
            <w:vAlign w:val="center"/>
          </w:tcPr>
          <w:p w:rsidR="000F1578" w:rsidRDefault="00281D11" w:rsidP="00BA02D9">
            <w:pPr>
              <w:jc w:val="right"/>
              <w:rPr>
                <w:b/>
                <w:bCs/>
                <w:sz w:val="28"/>
                <w:szCs w:val="28"/>
              </w:rPr>
            </w:pPr>
            <w:r>
              <w:rPr>
                <w:snapToGrid w:val="0"/>
                <w:sz w:val="22"/>
                <w:szCs w:val="22"/>
                <w:lang w:eastAsia="en-US"/>
              </w:rPr>
              <w:t>615.6</w:t>
            </w:r>
          </w:p>
        </w:tc>
      </w:tr>
      <w:tr w:rsidR="001327AB" w:rsidRPr="005C60A7" w:rsidTr="001327AB">
        <w:trPr>
          <w:trHeight w:val="454"/>
        </w:trPr>
        <w:tc>
          <w:tcPr>
            <w:tcW w:w="817" w:type="dxa"/>
          </w:tcPr>
          <w:p w:rsidR="001327AB" w:rsidRPr="005C60A7" w:rsidRDefault="001327AB" w:rsidP="001327AB">
            <w:pPr>
              <w:rPr>
                <w:snapToGrid w:val="0"/>
                <w:lang w:eastAsia="en-US"/>
              </w:rPr>
            </w:pPr>
          </w:p>
        </w:tc>
        <w:tc>
          <w:tcPr>
            <w:tcW w:w="4394" w:type="dxa"/>
            <w:vAlign w:val="center"/>
          </w:tcPr>
          <w:p w:rsidR="001327AB" w:rsidRPr="005C60A7" w:rsidRDefault="001327AB" w:rsidP="001327AB">
            <w:pPr>
              <w:rPr>
                <w:b/>
                <w:bCs/>
                <w:sz w:val="28"/>
                <w:szCs w:val="28"/>
              </w:rPr>
            </w:pPr>
            <w:r w:rsidRPr="005C60A7">
              <w:rPr>
                <w:snapToGrid w:val="0"/>
                <w:sz w:val="22"/>
                <w:szCs w:val="22"/>
                <w:lang w:eastAsia="en-US"/>
              </w:rPr>
              <w:t>JP Morgan Asset Management</w:t>
            </w:r>
          </w:p>
        </w:tc>
        <w:tc>
          <w:tcPr>
            <w:tcW w:w="3089" w:type="dxa"/>
            <w:vAlign w:val="center"/>
          </w:tcPr>
          <w:p w:rsidR="001327AB" w:rsidRPr="005C60A7" w:rsidRDefault="001327AB" w:rsidP="001327AB">
            <w:pPr>
              <w:rPr>
                <w:b/>
                <w:bCs/>
                <w:sz w:val="28"/>
                <w:szCs w:val="28"/>
              </w:rPr>
            </w:pPr>
            <w:smartTag w:uri="urn:schemas-microsoft-com:office:smarttags" w:element="place">
              <w:smartTag w:uri="urn:schemas-microsoft-com:office:smarttags" w:element="country-region">
                <w:r w:rsidRPr="005C60A7">
                  <w:rPr>
                    <w:snapToGrid w:val="0"/>
                    <w:sz w:val="22"/>
                    <w:szCs w:val="22"/>
                    <w:lang w:eastAsia="en-US"/>
                  </w:rPr>
                  <w:t>UK</w:t>
                </w:r>
              </w:smartTag>
            </w:smartTag>
            <w:r w:rsidRPr="005C60A7">
              <w:rPr>
                <w:snapToGrid w:val="0"/>
                <w:sz w:val="22"/>
                <w:szCs w:val="22"/>
                <w:lang w:eastAsia="en-US"/>
              </w:rPr>
              <w:t xml:space="preserve"> Equities</w:t>
            </w:r>
          </w:p>
        </w:tc>
        <w:tc>
          <w:tcPr>
            <w:tcW w:w="1553" w:type="dxa"/>
            <w:vAlign w:val="center"/>
          </w:tcPr>
          <w:p w:rsidR="001327AB" w:rsidRDefault="00281D11" w:rsidP="00BA02D9">
            <w:pPr>
              <w:jc w:val="right"/>
              <w:rPr>
                <w:b/>
                <w:bCs/>
                <w:sz w:val="28"/>
                <w:szCs w:val="28"/>
              </w:rPr>
            </w:pPr>
            <w:r>
              <w:rPr>
                <w:snapToGrid w:val="0"/>
                <w:sz w:val="22"/>
                <w:szCs w:val="22"/>
                <w:lang w:eastAsia="en-US"/>
              </w:rPr>
              <w:t>501.4</w:t>
            </w:r>
          </w:p>
        </w:tc>
      </w:tr>
      <w:tr w:rsidR="001327AB" w:rsidRPr="005C60A7" w:rsidTr="001327AB">
        <w:trPr>
          <w:trHeight w:val="454"/>
        </w:trPr>
        <w:tc>
          <w:tcPr>
            <w:tcW w:w="817" w:type="dxa"/>
          </w:tcPr>
          <w:p w:rsidR="001327AB" w:rsidRPr="005C60A7" w:rsidRDefault="001327AB" w:rsidP="001327AB">
            <w:pPr>
              <w:rPr>
                <w:snapToGrid w:val="0"/>
                <w:lang w:eastAsia="en-US"/>
              </w:rPr>
            </w:pPr>
          </w:p>
        </w:tc>
        <w:tc>
          <w:tcPr>
            <w:tcW w:w="4394" w:type="dxa"/>
            <w:vAlign w:val="center"/>
          </w:tcPr>
          <w:p w:rsidR="001327AB" w:rsidRPr="005C60A7" w:rsidRDefault="001327AB" w:rsidP="001327AB">
            <w:pPr>
              <w:rPr>
                <w:b/>
                <w:bCs/>
                <w:sz w:val="28"/>
                <w:szCs w:val="28"/>
              </w:rPr>
            </w:pPr>
            <w:r w:rsidRPr="005C60A7">
              <w:rPr>
                <w:snapToGrid w:val="0"/>
                <w:sz w:val="22"/>
                <w:szCs w:val="22"/>
                <w:lang w:eastAsia="en-US"/>
              </w:rPr>
              <w:t>UBS Global Asset Management</w:t>
            </w:r>
          </w:p>
        </w:tc>
        <w:tc>
          <w:tcPr>
            <w:tcW w:w="3089" w:type="dxa"/>
            <w:vAlign w:val="center"/>
          </w:tcPr>
          <w:p w:rsidR="001327AB" w:rsidRPr="005C60A7" w:rsidRDefault="001327AB" w:rsidP="001327AB">
            <w:pPr>
              <w:rPr>
                <w:b/>
                <w:bCs/>
                <w:sz w:val="28"/>
                <w:szCs w:val="28"/>
              </w:rPr>
            </w:pPr>
            <w:r w:rsidRPr="005C60A7">
              <w:rPr>
                <w:snapToGrid w:val="0"/>
                <w:sz w:val="22"/>
                <w:szCs w:val="22"/>
                <w:lang w:eastAsia="en-US"/>
              </w:rPr>
              <w:t>Bonds</w:t>
            </w:r>
          </w:p>
        </w:tc>
        <w:tc>
          <w:tcPr>
            <w:tcW w:w="1553" w:type="dxa"/>
            <w:vAlign w:val="center"/>
          </w:tcPr>
          <w:p w:rsidR="001327AB" w:rsidRDefault="00281D11" w:rsidP="00BA02D9">
            <w:pPr>
              <w:jc w:val="right"/>
              <w:rPr>
                <w:b/>
                <w:bCs/>
                <w:sz w:val="28"/>
                <w:szCs w:val="28"/>
              </w:rPr>
            </w:pPr>
            <w:r>
              <w:rPr>
                <w:snapToGrid w:val="0"/>
                <w:sz w:val="22"/>
                <w:szCs w:val="22"/>
                <w:lang w:eastAsia="en-US"/>
              </w:rPr>
              <w:t>672.7</w:t>
            </w:r>
          </w:p>
        </w:tc>
      </w:tr>
      <w:tr w:rsidR="001327AB" w:rsidRPr="005C60A7" w:rsidTr="001327AB">
        <w:trPr>
          <w:trHeight w:val="454"/>
        </w:trPr>
        <w:tc>
          <w:tcPr>
            <w:tcW w:w="817" w:type="dxa"/>
          </w:tcPr>
          <w:p w:rsidR="001327AB" w:rsidRPr="005C60A7" w:rsidRDefault="001327AB" w:rsidP="001327AB">
            <w:pPr>
              <w:rPr>
                <w:snapToGrid w:val="0"/>
                <w:lang w:eastAsia="en-US"/>
              </w:rPr>
            </w:pPr>
          </w:p>
        </w:tc>
        <w:tc>
          <w:tcPr>
            <w:tcW w:w="4394" w:type="dxa"/>
            <w:vAlign w:val="center"/>
          </w:tcPr>
          <w:p w:rsidR="001327AB" w:rsidRPr="005C60A7" w:rsidRDefault="001327AB" w:rsidP="001327AB">
            <w:pPr>
              <w:rPr>
                <w:b/>
                <w:bCs/>
                <w:sz w:val="28"/>
                <w:szCs w:val="28"/>
              </w:rPr>
            </w:pPr>
            <w:r w:rsidRPr="005C60A7">
              <w:rPr>
                <w:snapToGrid w:val="0"/>
                <w:sz w:val="22"/>
                <w:szCs w:val="22"/>
                <w:lang w:eastAsia="en-US"/>
              </w:rPr>
              <w:t xml:space="preserve">Knight Frank </w:t>
            </w:r>
          </w:p>
        </w:tc>
        <w:tc>
          <w:tcPr>
            <w:tcW w:w="3089" w:type="dxa"/>
            <w:vAlign w:val="center"/>
          </w:tcPr>
          <w:p w:rsidR="001327AB" w:rsidRPr="005C60A7" w:rsidRDefault="001327AB" w:rsidP="001327AB">
            <w:pPr>
              <w:rPr>
                <w:b/>
                <w:bCs/>
                <w:sz w:val="28"/>
                <w:szCs w:val="28"/>
              </w:rPr>
            </w:pPr>
            <w:r w:rsidRPr="005C60A7">
              <w:rPr>
                <w:snapToGrid w:val="0"/>
                <w:sz w:val="22"/>
                <w:szCs w:val="22"/>
                <w:lang w:eastAsia="en-US"/>
              </w:rPr>
              <w:t>Property</w:t>
            </w:r>
          </w:p>
        </w:tc>
        <w:tc>
          <w:tcPr>
            <w:tcW w:w="1553" w:type="dxa"/>
            <w:vAlign w:val="center"/>
          </w:tcPr>
          <w:p w:rsidR="001327AB" w:rsidRDefault="00281D11" w:rsidP="00BA02D9">
            <w:pPr>
              <w:jc w:val="right"/>
              <w:rPr>
                <w:b/>
                <w:bCs/>
                <w:sz w:val="28"/>
                <w:szCs w:val="28"/>
              </w:rPr>
            </w:pPr>
            <w:r>
              <w:rPr>
                <w:snapToGrid w:val="0"/>
                <w:sz w:val="22"/>
                <w:szCs w:val="22"/>
                <w:lang w:eastAsia="en-US"/>
              </w:rPr>
              <w:t>383.9</w:t>
            </w:r>
          </w:p>
        </w:tc>
      </w:tr>
      <w:tr w:rsidR="001327AB" w:rsidRPr="005C60A7" w:rsidTr="001327AB">
        <w:trPr>
          <w:trHeight w:val="454"/>
        </w:trPr>
        <w:tc>
          <w:tcPr>
            <w:tcW w:w="817" w:type="dxa"/>
          </w:tcPr>
          <w:p w:rsidR="001327AB" w:rsidRPr="005C60A7" w:rsidRDefault="001327AB" w:rsidP="001327AB">
            <w:pPr>
              <w:rPr>
                <w:snapToGrid w:val="0"/>
                <w:lang w:eastAsia="en-US"/>
              </w:rPr>
            </w:pPr>
          </w:p>
        </w:tc>
        <w:tc>
          <w:tcPr>
            <w:tcW w:w="4394" w:type="dxa"/>
            <w:vAlign w:val="center"/>
          </w:tcPr>
          <w:p w:rsidR="001327AB" w:rsidRPr="005C60A7" w:rsidRDefault="001327AB" w:rsidP="001327AB">
            <w:pPr>
              <w:rPr>
                <w:b/>
                <w:bCs/>
                <w:sz w:val="28"/>
                <w:szCs w:val="28"/>
              </w:rPr>
            </w:pPr>
            <w:r w:rsidRPr="005C60A7">
              <w:rPr>
                <w:snapToGrid w:val="0"/>
                <w:sz w:val="22"/>
                <w:szCs w:val="22"/>
                <w:lang w:eastAsia="en-US"/>
              </w:rPr>
              <w:t>Capital Dynamics</w:t>
            </w:r>
          </w:p>
        </w:tc>
        <w:tc>
          <w:tcPr>
            <w:tcW w:w="3089" w:type="dxa"/>
            <w:vAlign w:val="center"/>
          </w:tcPr>
          <w:p w:rsidR="001327AB" w:rsidRPr="005C60A7" w:rsidRDefault="001327AB" w:rsidP="001327AB">
            <w:pPr>
              <w:rPr>
                <w:b/>
                <w:bCs/>
                <w:sz w:val="28"/>
                <w:szCs w:val="28"/>
              </w:rPr>
            </w:pPr>
            <w:r w:rsidRPr="005C60A7">
              <w:rPr>
                <w:snapToGrid w:val="0"/>
                <w:sz w:val="22"/>
                <w:szCs w:val="22"/>
                <w:lang w:eastAsia="en-US"/>
              </w:rPr>
              <w:t>Private Equity</w:t>
            </w:r>
          </w:p>
        </w:tc>
        <w:tc>
          <w:tcPr>
            <w:tcW w:w="1553" w:type="dxa"/>
            <w:vAlign w:val="center"/>
          </w:tcPr>
          <w:p w:rsidR="001327AB" w:rsidRDefault="00281D11" w:rsidP="00BA02D9">
            <w:pPr>
              <w:jc w:val="right"/>
              <w:rPr>
                <w:b/>
                <w:bCs/>
                <w:sz w:val="28"/>
                <w:szCs w:val="28"/>
              </w:rPr>
            </w:pPr>
            <w:r>
              <w:rPr>
                <w:snapToGrid w:val="0"/>
                <w:sz w:val="22"/>
                <w:szCs w:val="22"/>
                <w:lang w:eastAsia="en-US"/>
              </w:rPr>
              <w:t>222.4</w:t>
            </w:r>
          </w:p>
        </w:tc>
      </w:tr>
      <w:tr w:rsidR="000F1578" w:rsidRPr="005C60A7" w:rsidTr="00980A45">
        <w:trPr>
          <w:trHeight w:val="454"/>
        </w:trPr>
        <w:tc>
          <w:tcPr>
            <w:tcW w:w="817" w:type="dxa"/>
          </w:tcPr>
          <w:p w:rsidR="000F1578" w:rsidRPr="005C60A7" w:rsidRDefault="000F1578" w:rsidP="001327AB">
            <w:pPr>
              <w:rPr>
                <w:snapToGrid w:val="0"/>
                <w:lang w:eastAsia="en-US"/>
              </w:rPr>
            </w:pPr>
          </w:p>
        </w:tc>
        <w:tc>
          <w:tcPr>
            <w:tcW w:w="4394" w:type="dxa"/>
            <w:vAlign w:val="center"/>
          </w:tcPr>
          <w:p w:rsidR="000F1578" w:rsidRPr="00980A45" w:rsidRDefault="000F1578" w:rsidP="000F1578">
            <w:pPr>
              <w:rPr>
                <w:snapToGrid w:val="0"/>
                <w:sz w:val="22"/>
                <w:szCs w:val="22"/>
                <w:lang w:eastAsia="en-US"/>
              </w:rPr>
            </w:pPr>
            <w:r w:rsidRPr="00980A45">
              <w:rPr>
                <w:snapToGrid w:val="0"/>
                <w:sz w:val="22"/>
                <w:szCs w:val="22"/>
                <w:lang w:eastAsia="en-US"/>
              </w:rPr>
              <w:t>Mellon Transition Management</w:t>
            </w:r>
          </w:p>
        </w:tc>
        <w:tc>
          <w:tcPr>
            <w:tcW w:w="3089" w:type="dxa"/>
            <w:vAlign w:val="center"/>
          </w:tcPr>
          <w:p w:rsidR="000F1578" w:rsidRPr="00980A45" w:rsidRDefault="00980A45" w:rsidP="001327AB">
            <w:pPr>
              <w:rPr>
                <w:snapToGrid w:val="0"/>
                <w:sz w:val="22"/>
                <w:szCs w:val="22"/>
                <w:lang w:eastAsia="en-US"/>
              </w:rPr>
            </w:pPr>
            <w:r w:rsidRPr="00980A45">
              <w:rPr>
                <w:snapToGrid w:val="0"/>
                <w:sz w:val="22"/>
                <w:szCs w:val="22"/>
                <w:lang w:eastAsia="en-US"/>
              </w:rPr>
              <w:t>Global Equities</w:t>
            </w:r>
          </w:p>
        </w:tc>
        <w:tc>
          <w:tcPr>
            <w:tcW w:w="1553" w:type="dxa"/>
            <w:vAlign w:val="center"/>
          </w:tcPr>
          <w:p w:rsidR="000F1578" w:rsidRPr="00980A45" w:rsidRDefault="00281D11" w:rsidP="00BA02D9">
            <w:pPr>
              <w:jc w:val="right"/>
              <w:rPr>
                <w:snapToGrid w:val="0"/>
                <w:sz w:val="22"/>
                <w:szCs w:val="22"/>
                <w:lang w:eastAsia="en-US"/>
              </w:rPr>
            </w:pPr>
            <w:r>
              <w:rPr>
                <w:snapToGrid w:val="0"/>
                <w:sz w:val="22"/>
                <w:szCs w:val="22"/>
                <w:lang w:eastAsia="en-US"/>
              </w:rPr>
              <w:t>617.1</w:t>
            </w:r>
          </w:p>
        </w:tc>
      </w:tr>
      <w:tr w:rsidR="001327AB" w:rsidRPr="005C60A7" w:rsidTr="00980A45">
        <w:trPr>
          <w:trHeight w:val="454"/>
        </w:trPr>
        <w:tc>
          <w:tcPr>
            <w:tcW w:w="817" w:type="dxa"/>
          </w:tcPr>
          <w:p w:rsidR="001327AB" w:rsidRPr="005C60A7" w:rsidRDefault="001327AB" w:rsidP="001327AB">
            <w:pPr>
              <w:rPr>
                <w:snapToGrid w:val="0"/>
                <w:lang w:eastAsia="en-US"/>
              </w:rPr>
            </w:pPr>
          </w:p>
        </w:tc>
        <w:tc>
          <w:tcPr>
            <w:tcW w:w="4394" w:type="dxa"/>
            <w:vAlign w:val="center"/>
          </w:tcPr>
          <w:p w:rsidR="001327AB" w:rsidRPr="005C60A7" w:rsidRDefault="001327AB" w:rsidP="001327AB">
            <w:pPr>
              <w:rPr>
                <w:b/>
                <w:bCs/>
                <w:sz w:val="28"/>
                <w:szCs w:val="28"/>
              </w:rPr>
            </w:pPr>
            <w:r w:rsidRPr="005C60A7">
              <w:rPr>
                <w:snapToGrid w:val="0"/>
                <w:sz w:val="22"/>
                <w:szCs w:val="22"/>
                <w:lang w:eastAsia="en-US"/>
              </w:rPr>
              <w:t>In-House</w:t>
            </w:r>
          </w:p>
        </w:tc>
        <w:tc>
          <w:tcPr>
            <w:tcW w:w="3089" w:type="dxa"/>
            <w:vAlign w:val="center"/>
          </w:tcPr>
          <w:p w:rsidR="001327AB" w:rsidRPr="005C60A7" w:rsidRDefault="001327AB" w:rsidP="00B62DC1">
            <w:pPr>
              <w:rPr>
                <w:b/>
                <w:bCs/>
                <w:sz w:val="28"/>
                <w:szCs w:val="28"/>
              </w:rPr>
            </w:pPr>
            <w:r w:rsidRPr="005C60A7">
              <w:rPr>
                <w:snapToGrid w:val="0"/>
                <w:sz w:val="22"/>
                <w:szCs w:val="22"/>
                <w:lang w:eastAsia="en-US"/>
              </w:rPr>
              <w:t>Cash</w:t>
            </w:r>
            <w:r w:rsidR="00B62DC1">
              <w:rPr>
                <w:snapToGrid w:val="0"/>
                <w:sz w:val="22"/>
                <w:szCs w:val="22"/>
                <w:lang w:eastAsia="en-US"/>
              </w:rPr>
              <w:t>, Bonds and Infrastructure</w:t>
            </w:r>
          </w:p>
        </w:tc>
        <w:tc>
          <w:tcPr>
            <w:tcW w:w="1553" w:type="dxa"/>
            <w:tcBorders>
              <w:bottom w:val="single" w:sz="4" w:space="0" w:color="auto"/>
            </w:tcBorders>
            <w:vAlign w:val="center"/>
          </w:tcPr>
          <w:p w:rsidR="001327AB" w:rsidRDefault="00281D11" w:rsidP="00BA02D9">
            <w:pPr>
              <w:jc w:val="right"/>
              <w:rPr>
                <w:b/>
                <w:bCs/>
                <w:sz w:val="28"/>
                <w:szCs w:val="28"/>
              </w:rPr>
            </w:pPr>
            <w:r>
              <w:rPr>
                <w:snapToGrid w:val="0"/>
                <w:sz w:val="22"/>
                <w:szCs w:val="22"/>
                <w:lang w:eastAsia="en-US"/>
              </w:rPr>
              <w:t>289.4</w:t>
            </w:r>
          </w:p>
        </w:tc>
      </w:tr>
      <w:tr w:rsidR="001327AB" w:rsidRPr="005C60A7" w:rsidTr="001327AB">
        <w:trPr>
          <w:trHeight w:val="454"/>
        </w:trPr>
        <w:tc>
          <w:tcPr>
            <w:tcW w:w="817" w:type="dxa"/>
          </w:tcPr>
          <w:p w:rsidR="001327AB" w:rsidRPr="005C60A7" w:rsidRDefault="001327AB" w:rsidP="001327AB"/>
        </w:tc>
        <w:tc>
          <w:tcPr>
            <w:tcW w:w="4394" w:type="dxa"/>
            <w:vAlign w:val="center"/>
          </w:tcPr>
          <w:p w:rsidR="001327AB" w:rsidRPr="005C60A7" w:rsidRDefault="001327AB" w:rsidP="001327AB">
            <w:pPr>
              <w:rPr>
                <w:b/>
                <w:bCs/>
                <w:sz w:val="28"/>
                <w:szCs w:val="28"/>
              </w:rPr>
            </w:pPr>
            <w:r w:rsidRPr="005C60A7">
              <w:rPr>
                <w:sz w:val="22"/>
                <w:szCs w:val="22"/>
              </w:rPr>
              <w:t>Total</w:t>
            </w:r>
          </w:p>
        </w:tc>
        <w:tc>
          <w:tcPr>
            <w:tcW w:w="3089" w:type="dxa"/>
            <w:vAlign w:val="center"/>
          </w:tcPr>
          <w:p w:rsidR="001327AB" w:rsidRPr="005C60A7" w:rsidRDefault="001327AB" w:rsidP="001327AB">
            <w:pPr>
              <w:rPr>
                <w:b/>
                <w:bCs/>
                <w:sz w:val="28"/>
                <w:szCs w:val="28"/>
              </w:rPr>
            </w:pPr>
          </w:p>
        </w:tc>
        <w:tc>
          <w:tcPr>
            <w:tcW w:w="1553" w:type="dxa"/>
            <w:tcBorders>
              <w:top w:val="single" w:sz="4" w:space="0" w:color="auto"/>
              <w:bottom w:val="single" w:sz="4" w:space="0" w:color="auto"/>
            </w:tcBorders>
            <w:vAlign w:val="center"/>
          </w:tcPr>
          <w:p w:rsidR="001327AB" w:rsidRDefault="00281D11" w:rsidP="00BA02D9">
            <w:pPr>
              <w:jc w:val="right"/>
              <w:rPr>
                <w:b/>
                <w:bCs/>
                <w:sz w:val="28"/>
                <w:szCs w:val="28"/>
              </w:rPr>
            </w:pPr>
            <w:r>
              <w:rPr>
                <w:snapToGrid w:val="0"/>
                <w:sz w:val="22"/>
                <w:szCs w:val="22"/>
                <w:lang w:eastAsia="en-US"/>
              </w:rPr>
              <w:t>4,359.9</w:t>
            </w:r>
          </w:p>
        </w:tc>
      </w:tr>
    </w:tbl>
    <w:p w:rsidR="001327AB" w:rsidRDefault="001327AB" w:rsidP="00C333F3">
      <w:pPr>
        <w:autoSpaceDE w:val="0"/>
        <w:autoSpaceDN w:val="0"/>
        <w:adjustRightInd w:val="0"/>
        <w:rPr>
          <w:rFonts w:ascii="Arial-BoldMT" w:hAnsi="Arial-BoldMT" w:cs="Arial-BoldMT"/>
          <w:b/>
          <w:bCs/>
          <w:szCs w:val="24"/>
          <w:highlight w:val="yellow"/>
        </w:rPr>
      </w:pPr>
    </w:p>
    <w:p w:rsidR="001327AB" w:rsidRDefault="001327AB" w:rsidP="00C333F3">
      <w:pPr>
        <w:autoSpaceDE w:val="0"/>
        <w:autoSpaceDN w:val="0"/>
        <w:adjustRightInd w:val="0"/>
        <w:rPr>
          <w:rFonts w:ascii="Arial-BoldMT" w:hAnsi="Arial-BoldMT" w:cs="Arial-BoldMT"/>
          <w:b/>
          <w:bCs/>
          <w:szCs w:val="24"/>
          <w:highlight w:val="yellow"/>
        </w:rPr>
      </w:pPr>
    </w:p>
    <w:p w:rsidR="001327AB" w:rsidRDefault="001327AB" w:rsidP="00C333F3">
      <w:pPr>
        <w:autoSpaceDE w:val="0"/>
        <w:autoSpaceDN w:val="0"/>
        <w:adjustRightInd w:val="0"/>
        <w:rPr>
          <w:rFonts w:ascii="Arial-BoldMT" w:hAnsi="Arial-BoldMT" w:cs="Arial-BoldMT"/>
          <w:b/>
          <w:bCs/>
          <w:szCs w:val="24"/>
          <w:highlight w:val="yellow"/>
        </w:rPr>
      </w:pPr>
    </w:p>
    <w:p w:rsidR="001327AB" w:rsidRDefault="001327AB" w:rsidP="00C333F3">
      <w:pPr>
        <w:autoSpaceDE w:val="0"/>
        <w:autoSpaceDN w:val="0"/>
        <w:adjustRightInd w:val="0"/>
        <w:rPr>
          <w:rFonts w:ascii="Arial-BoldMT" w:hAnsi="Arial-BoldMT" w:cs="Arial-BoldMT"/>
          <w:b/>
          <w:bCs/>
          <w:szCs w:val="24"/>
          <w:highlight w:val="yellow"/>
        </w:rPr>
      </w:pPr>
    </w:p>
    <w:p w:rsidR="001327AB" w:rsidRDefault="001327AB" w:rsidP="00C333F3">
      <w:pPr>
        <w:autoSpaceDE w:val="0"/>
        <w:autoSpaceDN w:val="0"/>
        <w:adjustRightInd w:val="0"/>
        <w:rPr>
          <w:rFonts w:ascii="Arial-BoldMT" w:hAnsi="Arial-BoldMT" w:cs="Arial-BoldMT"/>
          <w:b/>
          <w:bCs/>
          <w:szCs w:val="24"/>
          <w:highlight w:val="yellow"/>
        </w:rPr>
      </w:pPr>
    </w:p>
    <w:p w:rsidR="001327AB" w:rsidRDefault="001327AB" w:rsidP="00C333F3">
      <w:pPr>
        <w:autoSpaceDE w:val="0"/>
        <w:autoSpaceDN w:val="0"/>
        <w:adjustRightInd w:val="0"/>
        <w:rPr>
          <w:rFonts w:ascii="Arial-BoldMT" w:hAnsi="Arial-BoldMT" w:cs="Arial-BoldMT"/>
          <w:b/>
          <w:bCs/>
          <w:szCs w:val="24"/>
          <w:highlight w:val="yellow"/>
        </w:rPr>
      </w:pPr>
    </w:p>
    <w:p w:rsidR="0043789A" w:rsidRDefault="0043789A" w:rsidP="00C333F3">
      <w:pPr>
        <w:autoSpaceDE w:val="0"/>
        <w:autoSpaceDN w:val="0"/>
        <w:adjustRightInd w:val="0"/>
        <w:rPr>
          <w:rFonts w:ascii="Arial-BoldMT" w:hAnsi="Arial-BoldMT" w:cs="Arial-BoldMT"/>
          <w:b/>
          <w:bCs/>
          <w:szCs w:val="24"/>
          <w:highlight w:val="yellow"/>
        </w:rPr>
      </w:pPr>
    </w:p>
    <w:p w:rsidR="0043789A" w:rsidRDefault="0043789A" w:rsidP="00C333F3">
      <w:pPr>
        <w:autoSpaceDE w:val="0"/>
        <w:autoSpaceDN w:val="0"/>
        <w:adjustRightInd w:val="0"/>
        <w:rPr>
          <w:rFonts w:ascii="Arial-BoldMT" w:hAnsi="Arial-BoldMT" w:cs="Arial-BoldMT"/>
          <w:b/>
          <w:bCs/>
          <w:szCs w:val="24"/>
          <w:highlight w:val="yellow"/>
        </w:rPr>
      </w:pPr>
    </w:p>
    <w:p w:rsidR="001327AB" w:rsidRDefault="001327AB" w:rsidP="00C333F3">
      <w:pPr>
        <w:autoSpaceDE w:val="0"/>
        <w:autoSpaceDN w:val="0"/>
        <w:adjustRightInd w:val="0"/>
        <w:rPr>
          <w:rFonts w:ascii="Arial-BoldMT" w:hAnsi="Arial-BoldMT" w:cs="Arial-BoldMT"/>
          <w:b/>
          <w:bCs/>
          <w:szCs w:val="24"/>
          <w:highlight w:val="yellow"/>
        </w:rPr>
      </w:pPr>
    </w:p>
    <w:p w:rsidR="001327AB" w:rsidRDefault="001327AB" w:rsidP="00C333F3">
      <w:pPr>
        <w:autoSpaceDE w:val="0"/>
        <w:autoSpaceDN w:val="0"/>
        <w:adjustRightInd w:val="0"/>
        <w:rPr>
          <w:rFonts w:ascii="Arial-BoldMT" w:hAnsi="Arial-BoldMT" w:cs="Arial-BoldMT"/>
          <w:b/>
          <w:bCs/>
          <w:szCs w:val="24"/>
          <w:highlight w:val="yellow"/>
        </w:rPr>
      </w:pPr>
    </w:p>
    <w:p w:rsidR="001327AB" w:rsidRDefault="001327AB" w:rsidP="00C333F3">
      <w:pPr>
        <w:autoSpaceDE w:val="0"/>
        <w:autoSpaceDN w:val="0"/>
        <w:adjustRightInd w:val="0"/>
        <w:rPr>
          <w:rFonts w:ascii="Arial-BoldMT" w:hAnsi="Arial-BoldMT" w:cs="Arial-BoldMT"/>
          <w:b/>
          <w:bCs/>
          <w:szCs w:val="24"/>
          <w:highlight w:val="yellow"/>
        </w:rPr>
      </w:pPr>
    </w:p>
    <w:p w:rsidR="00980A45" w:rsidRDefault="00980A45" w:rsidP="00980A45">
      <w:pPr>
        <w:autoSpaceDE w:val="0"/>
        <w:autoSpaceDN w:val="0"/>
        <w:adjustRightInd w:val="0"/>
        <w:rPr>
          <w:rFonts w:ascii="Arial-BoldMT" w:hAnsi="Arial-BoldMT" w:cs="Arial-BoldMT"/>
          <w:b/>
          <w:bCs/>
        </w:rPr>
      </w:pPr>
      <w:r w:rsidRPr="0029252C">
        <w:rPr>
          <w:rFonts w:ascii="Arial-BoldMT" w:hAnsi="Arial-BoldMT" w:cs="Arial-BoldMT"/>
          <w:b/>
          <w:bCs/>
        </w:rPr>
        <w:t>Performance</w:t>
      </w:r>
    </w:p>
    <w:p w:rsidR="00B52372" w:rsidRDefault="00B52372" w:rsidP="00980A45">
      <w:pPr>
        <w:autoSpaceDE w:val="0"/>
        <w:autoSpaceDN w:val="0"/>
        <w:adjustRightInd w:val="0"/>
        <w:rPr>
          <w:rFonts w:ascii="Arial-BoldMT" w:hAnsi="Arial-BoldMT" w:cs="Arial-BoldMT"/>
          <w:b/>
          <w:bCs/>
        </w:rPr>
      </w:pPr>
    </w:p>
    <w:p w:rsidR="00B52372" w:rsidRDefault="00B52372" w:rsidP="00980A45">
      <w:pPr>
        <w:autoSpaceDE w:val="0"/>
        <w:autoSpaceDN w:val="0"/>
        <w:adjustRightInd w:val="0"/>
        <w:rPr>
          <w:rFonts w:ascii="Arial-BoldMT" w:hAnsi="Arial-BoldMT" w:cs="Arial-BoldMT"/>
          <w:b/>
          <w:bCs/>
        </w:rPr>
      </w:pPr>
    </w:p>
    <w:p w:rsidR="00B52372" w:rsidRDefault="00E80588" w:rsidP="00980A45">
      <w:pPr>
        <w:autoSpaceDE w:val="0"/>
        <w:autoSpaceDN w:val="0"/>
        <w:adjustRightInd w:val="0"/>
        <w:rPr>
          <w:rFonts w:ascii="ArialMT" w:hAnsi="ArialMT" w:cs="ArialMT"/>
        </w:rPr>
      </w:pPr>
      <w:r w:rsidRPr="00E80588">
        <w:rPr>
          <w:rFonts w:ascii="ArialMT" w:hAnsi="ArialMT" w:cs="ArialMT"/>
        </w:rPr>
        <w:t>The value of the Fund over the last ten years is sho</w:t>
      </w:r>
      <w:r w:rsidR="00054781">
        <w:rPr>
          <w:rFonts w:ascii="ArialMT" w:hAnsi="ArialMT" w:cs="ArialMT"/>
        </w:rPr>
        <w:t>wn</w:t>
      </w:r>
      <w:r w:rsidRPr="00E80588">
        <w:rPr>
          <w:rFonts w:ascii="ArialMT" w:hAnsi="ArialMT" w:cs="ArialMT"/>
        </w:rPr>
        <w:t xml:space="preserve"> in the chart below:</w:t>
      </w:r>
    </w:p>
    <w:p w:rsidR="00B52372" w:rsidRDefault="00B52372" w:rsidP="00980A45">
      <w:pPr>
        <w:autoSpaceDE w:val="0"/>
        <w:autoSpaceDN w:val="0"/>
        <w:adjustRightInd w:val="0"/>
        <w:rPr>
          <w:rFonts w:ascii="ArialMT" w:hAnsi="ArialMT" w:cs="ArialMT"/>
        </w:rPr>
      </w:pPr>
    </w:p>
    <w:p w:rsidR="00B52372" w:rsidRDefault="008B1E94" w:rsidP="00980A45">
      <w:pPr>
        <w:autoSpaceDE w:val="0"/>
        <w:autoSpaceDN w:val="0"/>
        <w:adjustRightInd w:val="0"/>
        <w:rPr>
          <w:rFonts w:ascii="ArialMT" w:hAnsi="ArialMT" w:cs="ArialMT"/>
        </w:rPr>
      </w:pPr>
      <w:r>
        <w:rPr>
          <w:rFonts w:ascii="ArialMT" w:hAnsi="ArialMT" w:cs="ArialMT"/>
          <w:noProof/>
        </w:rPr>
        <w:drawing>
          <wp:inline distT="0" distB="0" distL="0" distR="0">
            <wp:extent cx="5943600" cy="4502150"/>
            <wp:effectExtent l="0" t="0" r="0" b="0"/>
            <wp:docPr id="2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52372" w:rsidRDefault="00B52372" w:rsidP="00980A45">
      <w:pPr>
        <w:autoSpaceDE w:val="0"/>
        <w:autoSpaceDN w:val="0"/>
        <w:adjustRightInd w:val="0"/>
        <w:rPr>
          <w:rFonts w:ascii="ArialMT" w:hAnsi="ArialMT" w:cs="ArialMT"/>
        </w:rPr>
      </w:pPr>
    </w:p>
    <w:p w:rsidR="00B52372" w:rsidRDefault="00B52372" w:rsidP="00980A45">
      <w:pPr>
        <w:autoSpaceDE w:val="0"/>
        <w:autoSpaceDN w:val="0"/>
        <w:adjustRightInd w:val="0"/>
        <w:rPr>
          <w:rFonts w:ascii="ArialMT" w:hAnsi="ArialMT" w:cs="ArialMT"/>
        </w:rPr>
      </w:pPr>
    </w:p>
    <w:p w:rsidR="00B52372" w:rsidRDefault="00B52372" w:rsidP="00980A45">
      <w:pPr>
        <w:autoSpaceDE w:val="0"/>
        <w:autoSpaceDN w:val="0"/>
        <w:adjustRightInd w:val="0"/>
        <w:rPr>
          <w:rFonts w:ascii="ArialMT" w:hAnsi="ArialMT" w:cs="ArialMT"/>
        </w:rPr>
      </w:pPr>
    </w:p>
    <w:p w:rsidR="00B52372" w:rsidRDefault="00980A45" w:rsidP="00980A45">
      <w:pPr>
        <w:autoSpaceDE w:val="0"/>
        <w:autoSpaceDN w:val="0"/>
        <w:adjustRightInd w:val="0"/>
        <w:rPr>
          <w:rFonts w:ascii="ArialMT" w:hAnsi="ArialMT" w:cs="ArialMT"/>
        </w:rPr>
      </w:pPr>
      <w:r w:rsidRPr="004A387A">
        <w:rPr>
          <w:rFonts w:ascii="ArialMT" w:hAnsi="ArialMT" w:cs="ArialMT"/>
        </w:rPr>
        <w:t>The Fund is invested to meet liabilities over the medium-to long-term and therefore its performance should be judged over a corresponding period. Annual returns can be volatile</w:t>
      </w:r>
      <w:r w:rsidR="00B52372">
        <w:rPr>
          <w:rFonts w:ascii="ArialMT" w:hAnsi="ArialMT" w:cs="ArialMT"/>
        </w:rPr>
        <w:t>, as seen in 2008/09</w:t>
      </w:r>
      <w:r w:rsidRPr="004A387A">
        <w:rPr>
          <w:rFonts w:ascii="ArialMT" w:hAnsi="ArialMT" w:cs="ArialMT"/>
        </w:rPr>
        <w:t xml:space="preserve"> and do not necessarily indicate the underlying health of the Fund. </w:t>
      </w:r>
    </w:p>
    <w:p w:rsidR="00B52372" w:rsidRDefault="00B52372" w:rsidP="00980A45">
      <w:pPr>
        <w:autoSpaceDE w:val="0"/>
        <w:autoSpaceDN w:val="0"/>
        <w:adjustRightInd w:val="0"/>
        <w:rPr>
          <w:rFonts w:ascii="ArialMT" w:hAnsi="ArialMT" w:cs="ArialMT"/>
        </w:rPr>
      </w:pPr>
    </w:p>
    <w:p w:rsidR="00980A45" w:rsidRDefault="00980A45" w:rsidP="00980A45">
      <w:pPr>
        <w:autoSpaceDE w:val="0"/>
        <w:autoSpaceDN w:val="0"/>
        <w:adjustRightInd w:val="0"/>
        <w:rPr>
          <w:rFonts w:ascii="ArialMT" w:hAnsi="ArialMT" w:cs="ArialMT"/>
        </w:rPr>
      </w:pPr>
      <w:r w:rsidRPr="004A387A">
        <w:rPr>
          <w:rFonts w:ascii="ArialMT" w:hAnsi="ArialMT" w:cs="ArialMT"/>
        </w:rPr>
        <w:t>The performance of the Fund is measured against a Fund specific benchmark with individual managers being given performance benchmarks and targets which are linked to index returns for the assets they manage. Details of these can be found in the Sta</w:t>
      </w:r>
      <w:r w:rsidR="001507B4" w:rsidRPr="004A387A">
        <w:rPr>
          <w:rFonts w:ascii="ArialMT" w:hAnsi="ArialMT" w:cs="ArialMT"/>
        </w:rPr>
        <w:t>tement of Investment Principles</w:t>
      </w:r>
      <w:r w:rsidR="005D170B" w:rsidRPr="004A387A">
        <w:rPr>
          <w:rFonts w:ascii="ArialMT" w:hAnsi="ArialMT" w:cs="ArialMT"/>
        </w:rPr>
        <w:t xml:space="preserve">. </w:t>
      </w:r>
      <w:hyperlink r:id="rId21" w:history="1">
        <w:r w:rsidR="009F30A5" w:rsidRPr="009F30A5">
          <w:rPr>
            <w:rStyle w:val="Hyperlink"/>
            <w:rFonts w:ascii="ArialMT" w:hAnsi="ArialMT" w:cs="ArialMT"/>
          </w:rPr>
          <w:t>Statement of Investment Principles</w:t>
        </w:r>
      </w:hyperlink>
      <w:r w:rsidR="009F30A5">
        <w:rPr>
          <w:rFonts w:ascii="ArialMT" w:hAnsi="ArialMT" w:cs="ArialMT"/>
        </w:rPr>
        <w:t xml:space="preserve">.  </w:t>
      </w:r>
      <w:r w:rsidRPr="004A387A">
        <w:rPr>
          <w:rFonts w:ascii="ArialMT" w:hAnsi="ArialMT" w:cs="ArialMT"/>
        </w:rPr>
        <w:t xml:space="preserve">The Fund also subscribes to the annual WM Survey of UK </w:t>
      </w:r>
      <w:r w:rsidR="004A387A">
        <w:rPr>
          <w:rFonts w:ascii="ArialMT" w:hAnsi="ArialMT" w:cs="ArialMT"/>
        </w:rPr>
        <w:t xml:space="preserve">Local Authority </w:t>
      </w:r>
      <w:r w:rsidRPr="004A387A">
        <w:rPr>
          <w:rFonts w:ascii="ArialMT" w:hAnsi="ArialMT" w:cs="ArialMT"/>
        </w:rPr>
        <w:t xml:space="preserve">Pension Funds, which shows comparisons with other local authority pension funds. The performance of the investment managers is reviewed on a regular basis by the Panel and any recommendations arising from those reviews are </w:t>
      </w:r>
      <w:r w:rsidR="00BB10F6">
        <w:rPr>
          <w:rFonts w:ascii="ArialMT" w:hAnsi="ArialMT" w:cs="ArialMT"/>
        </w:rPr>
        <w:t>considered by</w:t>
      </w:r>
      <w:r w:rsidRPr="004A387A">
        <w:rPr>
          <w:rFonts w:ascii="ArialMT" w:hAnsi="ArialMT" w:cs="ArialMT"/>
        </w:rPr>
        <w:t xml:space="preserve"> the Committee.</w:t>
      </w:r>
    </w:p>
    <w:p w:rsidR="00980A45" w:rsidRDefault="00980A45" w:rsidP="00980A45">
      <w:pPr>
        <w:autoSpaceDE w:val="0"/>
        <w:autoSpaceDN w:val="0"/>
        <w:adjustRightInd w:val="0"/>
        <w:rPr>
          <w:rFonts w:ascii="ArialMT" w:hAnsi="ArialMT" w:cs="ArialMT"/>
          <w:sz w:val="22"/>
          <w:szCs w:val="22"/>
        </w:rPr>
      </w:pPr>
      <w:r>
        <w:rPr>
          <w:rFonts w:ascii="ArialMT" w:hAnsi="ArialMT" w:cs="ArialMT"/>
          <w:sz w:val="22"/>
          <w:szCs w:val="22"/>
        </w:rPr>
        <w:t xml:space="preserve"> </w:t>
      </w:r>
    </w:p>
    <w:p w:rsidR="00980A45" w:rsidRDefault="00980A45" w:rsidP="00980A45">
      <w:pPr>
        <w:autoSpaceDE w:val="0"/>
        <w:autoSpaceDN w:val="0"/>
        <w:adjustRightInd w:val="0"/>
        <w:rPr>
          <w:rFonts w:ascii="ArialMT" w:hAnsi="ArialMT" w:cs="ArialMT"/>
        </w:rPr>
      </w:pPr>
      <w:r w:rsidRPr="0029252C">
        <w:rPr>
          <w:rFonts w:ascii="ArialMT" w:hAnsi="ArialMT" w:cs="ArialMT"/>
        </w:rPr>
        <w:lastRenderedPageBreak/>
        <w:t>Looking first at total Fund returns, the chart below shows the total</w:t>
      </w:r>
      <w:r>
        <w:rPr>
          <w:rFonts w:ascii="ArialMT" w:hAnsi="ArialMT" w:cs="ArialMT"/>
        </w:rPr>
        <w:t xml:space="preserve"> </w:t>
      </w:r>
      <w:r w:rsidRPr="0029252C">
        <w:rPr>
          <w:rFonts w:ascii="ArialMT" w:hAnsi="ArialMT" w:cs="ArialMT"/>
        </w:rPr>
        <w:t xml:space="preserve">return of the Fund compared to the fund specific benchmark and the average </w:t>
      </w:r>
      <w:r>
        <w:rPr>
          <w:rFonts w:ascii="ArialMT" w:hAnsi="ArialMT" w:cs="ArialMT"/>
        </w:rPr>
        <w:t>l</w:t>
      </w:r>
      <w:r w:rsidRPr="0029252C">
        <w:rPr>
          <w:rFonts w:ascii="ArialMT" w:hAnsi="ArialMT" w:cs="ArialMT"/>
        </w:rPr>
        <w:t xml:space="preserve">ocal </w:t>
      </w:r>
      <w:r>
        <w:rPr>
          <w:rFonts w:ascii="ArialMT" w:hAnsi="ArialMT" w:cs="ArialMT"/>
        </w:rPr>
        <w:t>a</w:t>
      </w:r>
      <w:r w:rsidRPr="0029252C">
        <w:rPr>
          <w:rFonts w:ascii="ArialMT" w:hAnsi="ArialMT" w:cs="ArialMT"/>
        </w:rPr>
        <w:t xml:space="preserve">uthority </w:t>
      </w:r>
      <w:r>
        <w:rPr>
          <w:rFonts w:ascii="ArialMT" w:hAnsi="ArialMT" w:cs="ArialMT"/>
        </w:rPr>
        <w:t>p</w:t>
      </w:r>
      <w:r w:rsidRPr="0029252C">
        <w:rPr>
          <w:rFonts w:ascii="ArialMT" w:hAnsi="ArialMT" w:cs="ArialMT"/>
        </w:rPr>
        <w:t xml:space="preserve">ension </w:t>
      </w:r>
      <w:r>
        <w:rPr>
          <w:rFonts w:ascii="ArialMT" w:hAnsi="ArialMT" w:cs="ArialMT"/>
        </w:rPr>
        <w:t>f</w:t>
      </w:r>
      <w:r w:rsidRPr="0029252C">
        <w:rPr>
          <w:rFonts w:ascii="ArialMT" w:hAnsi="ArialMT" w:cs="ArialMT"/>
        </w:rPr>
        <w:t xml:space="preserve">und </w:t>
      </w:r>
      <w:r>
        <w:rPr>
          <w:rFonts w:ascii="ArialMT" w:hAnsi="ArialMT" w:cs="ArialMT"/>
        </w:rPr>
        <w:t>r</w:t>
      </w:r>
      <w:r w:rsidRPr="0029252C">
        <w:rPr>
          <w:rFonts w:ascii="ArialMT" w:hAnsi="ArialMT" w:cs="ArialMT"/>
        </w:rPr>
        <w:t>eturn</w:t>
      </w:r>
      <w:r>
        <w:rPr>
          <w:rFonts w:ascii="ArialMT" w:hAnsi="ArialMT" w:cs="ArialMT"/>
        </w:rPr>
        <w:t xml:space="preserve"> measured over </w:t>
      </w:r>
      <w:r w:rsidRPr="00FB35EF">
        <w:rPr>
          <w:rFonts w:ascii="ArialMT" w:hAnsi="ArialMT" w:cs="ArialMT"/>
        </w:rPr>
        <w:t>1,3,</w:t>
      </w:r>
      <w:r w:rsidR="002E0A2C">
        <w:rPr>
          <w:rFonts w:ascii="ArialMT" w:hAnsi="ArialMT" w:cs="ArialMT"/>
        </w:rPr>
        <w:t>5</w:t>
      </w:r>
      <w:r w:rsidRPr="00FB35EF">
        <w:rPr>
          <w:rFonts w:ascii="ArialMT" w:hAnsi="ArialMT" w:cs="ArialMT"/>
        </w:rPr>
        <w:t xml:space="preserve"> and </w:t>
      </w:r>
      <w:r w:rsidR="002E0A2C">
        <w:rPr>
          <w:rFonts w:ascii="ArialMT" w:hAnsi="ArialMT" w:cs="ArialMT"/>
        </w:rPr>
        <w:t xml:space="preserve">10 </w:t>
      </w:r>
      <w:r w:rsidRPr="00FB35EF">
        <w:rPr>
          <w:rFonts w:ascii="ArialMT" w:hAnsi="ArialMT" w:cs="ArialMT"/>
        </w:rPr>
        <w:t>years to 31 March 201</w:t>
      </w:r>
      <w:r w:rsidR="0043789A">
        <w:rPr>
          <w:rFonts w:ascii="ArialMT" w:hAnsi="ArialMT" w:cs="ArialMT"/>
        </w:rPr>
        <w:t>2</w:t>
      </w:r>
      <w:r>
        <w:rPr>
          <w:rFonts w:ascii="ArialMT" w:hAnsi="ArialMT" w:cs="ArialMT"/>
        </w:rPr>
        <w:t>:</w:t>
      </w:r>
    </w:p>
    <w:p w:rsidR="001327AB" w:rsidRDefault="001327AB" w:rsidP="00980A45">
      <w:pPr>
        <w:autoSpaceDE w:val="0"/>
        <w:autoSpaceDN w:val="0"/>
        <w:adjustRightInd w:val="0"/>
        <w:rPr>
          <w:rFonts w:ascii="Arial-BoldMT" w:hAnsi="Arial-BoldMT" w:cs="Arial-BoldMT"/>
          <w:b/>
          <w:bCs/>
          <w:szCs w:val="24"/>
          <w:highlight w:val="yellow"/>
        </w:rPr>
      </w:pPr>
    </w:p>
    <w:p w:rsidR="001327AB" w:rsidRDefault="00742B40" w:rsidP="00C333F3">
      <w:pPr>
        <w:autoSpaceDE w:val="0"/>
        <w:autoSpaceDN w:val="0"/>
        <w:adjustRightInd w:val="0"/>
        <w:rPr>
          <w:rFonts w:ascii="Arial-BoldMT" w:hAnsi="Arial-BoldMT" w:cs="Arial-BoldMT"/>
          <w:b/>
          <w:bCs/>
          <w:szCs w:val="24"/>
          <w:highlight w:val="yellow"/>
        </w:rPr>
      </w:pPr>
      <w:r w:rsidRPr="00742B40">
        <w:rPr>
          <w:rFonts w:ascii="Arial-BoldMT" w:hAnsi="Arial-BoldMT" w:cs="Arial-BoldMT"/>
          <w:b/>
          <w:bCs/>
          <w:noProof/>
          <w:szCs w:val="24"/>
        </w:rPr>
        <w:drawing>
          <wp:inline distT="0" distB="0" distL="0" distR="0">
            <wp:extent cx="5943600" cy="318008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327AB" w:rsidRDefault="001327AB" w:rsidP="00C333F3">
      <w:pPr>
        <w:autoSpaceDE w:val="0"/>
        <w:autoSpaceDN w:val="0"/>
        <w:adjustRightInd w:val="0"/>
        <w:rPr>
          <w:rFonts w:ascii="Arial-BoldMT" w:hAnsi="Arial-BoldMT" w:cs="Arial-BoldMT"/>
          <w:b/>
          <w:bCs/>
          <w:szCs w:val="24"/>
          <w:highlight w:val="yellow"/>
        </w:rPr>
      </w:pPr>
    </w:p>
    <w:p w:rsidR="001327AB" w:rsidRPr="00320722" w:rsidRDefault="001327AB" w:rsidP="00C333F3">
      <w:pPr>
        <w:autoSpaceDE w:val="0"/>
        <w:autoSpaceDN w:val="0"/>
        <w:adjustRightInd w:val="0"/>
        <w:rPr>
          <w:rFonts w:ascii="Arial-BoldMT" w:hAnsi="Arial-BoldMT" w:cs="Arial-BoldMT"/>
          <w:b/>
          <w:bCs/>
          <w:szCs w:val="24"/>
        </w:rPr>
      </w:pPr>
    </w:p>
    <w:p w:rsidR="001327AB" w:rsidRPr="00320722" w:rsidRDefault="00A769C6" w:rsidP="00C333F3">
      <w:pPr>
        <w:autoSpaceDE w:val="0"/>
        <w:autoSpaceDN w:val="0"/>
        <w:adjustRightInd w:val="0"/>
        <w:rPr>
          <w:rFonts w:ascii="ArialMT" w:hAnsi="ArialMT" w:cs="ArialMT"/>
        </w:rPr>
      </w:pPr>
      <w:r w:rsidRPr="00320722">
        <w:rPr>
          <w:rFonts w:ascii="ArialMT" w:hAnsi="ArialMT" w:cs="ArialMT"/>
        </w:rPr>
        <w:t xml:space="preserve">The modest Fund return of 2.3% masks a year of considerable volatility.  For example, the Fund reported a fall in value of 8.7% in the quarter July to September 2011, which it has subsequently recovered.  Markets have been particularly volatile reacting to the continuing concerns over the future of the euro and the health of the economies of the </w:t>
      </w:r>
      <w:r w:rsidR="00320722" w:rsidRPr="00320722">
        <w:rPr>
          <w:rFonts w:ascii="ArialMT" w:hAnsi="ArialMT" w:cs="ArialMT"/>
        </w:rPr>
        <w:t>E</w:t>
      </w:r>
      <w:r w:rsidRPr="00320722">
        <w:rPr>
          <w:rFonts w:ascii="ArialMT" w:hAnsi="ArialMT" w:cs="ArialMT"/>
        </w:rPr>
        <w:t>urozone.</w:t>
      </w:r>
    </w:p>
    <w:p w:rsidR="001327AB" w:rsidRPr="00320722" w:rsidRDefault="001327AB" w:rsidP="00C333F3">
      <w:pPr>
        <w:autoSpaceDE w:val="0"/>
        <w:autoSpaceDN w:val="0"/>
        <w:adjustRightInd w:val="0"/>
        <w:rPr>
          <w:rFonts w:ascii="Arial-BoldMT" w:hAnsi="Arial-BoldMT" w:cs="Arial-BoldMT"/>
          <w:b/>
          <w:bCs/>
          <w:szCs w:val="24"/>
        </w:rPr>
      </w:pPr>
    </w:p>
    <w:p w:rsidR="00A769C6" w:rsidRPr="00320722" w:rsidRDefault="00A769C6" w:rsidP="00980A45">
      <w:pPr>
        <w:autoSpaceDE w:val="0"/>
        <w:autoSpaceDN w:val="0"/>
        <w:adjustRightInd w:val="0"/>
        <w:rPr>
          <w:rFonts w:ascii="ArialMT" w:hAnsi="ArialMT" w:cs="ArialMT"/>
        </w:rPr>
      </w:pPr>
      <w:r w:rsidRPr="00320722">
        <w:rPr>
          <w:rFonts w:ascii="ArialMT" w:hAnsi="ArialMT" w:cs="ArialMT"/>
        </w:rPr>
        <w:t xml:space="preserve">The Fund's return of 2.3% is close to that of the average local authority pension fund </w:t>
      </w:r>
      <w:r w:rsidR="009305BA">
        <w:rPr>
          <w:rFonts w:ascii="ArialMT" w:hAnsi="ArialMT" w:cs="ArialMT"/>
        </w:rPr>
        <w:t>of 2.6%.  It ranks</w:t>
      </w:r>
      <w:r w:rsidRPr="00320722">
        <w:rPr>
          <w:rFonts w:ascii="ArialMT" w:hAnsi="ArialMT" w:cs="ArialMT"/>
        </w:rPr>
        <w:t xml:space="preserve"> as the 72</w:t>
      </w:r>
      <w:r w:rsidRPr="00320722">
        <w:rPr>
          <w:rFonts w:ascii="ArialMT" w:hAnsi="ArialMT" w:cs="ArialMT"/>
          <w:vertAlign w:val="superscript"/>
        </w:rPr>
        <w:t>nd</w:t>
      </w:r>
      <w:r w:rsidRPr="00320722">
        <w:rPr>
          <w:rFonts w:ascii="ArialMT" w:hAnsi="ArialMT" w:cs="ArialMT"/>
        </w:rPr>
        <w:t xml:space="preserve"> percentile in the WM </w:t>
      </w:r>
      <w:r w:rsidR="009305BA">
        <w:rPr>
          <w:rFonts w:ascii="ArialMT" w:hAnsi="ArialMT" w:cs="ArialMT"/>
        </w:rPr>
        <w:t xml:space="preserve">analysis </w:t>
      </w:r>
      <w:r w:rsidRPr="00320722">
        <w:rPr>
          <w:rFonts w:ascii="ArialMT" w:hAnsi="ArialMT" w:cs="ArialMT"/>
        </w:rPr>
        <w:t>of local authority funds.</w:t>
      </w:r>
    </w:p>
    <w:p w:rsidR="00A769C6" w:rsidRPr="00320722" w:rsidRDefault="00A769C6" w:rsidP="00980A45">
      <w:pPr>
        <w:autoSpaceDE w:val="0"/>
        <w:autoSpaceDN w:val="0"/>
        <w:adjustRightInd w:val="0"/>
        <w:rPr>
          <w:rFonts w:ascii="ArialMT" w:hAnsi="ArialMT" w:cs="ArialMT"/>
        </w:rPr>
      </w:pPr>
    </w:p>
    <w:p w:rsidR="00A769C6" w:rsidRPr="00320722" w:rsidRDefault="00A769C6" w:rsidP="00980A45">
      <w:pPr>
        <w:autoSpaceDE w:val="0"/>
        <w:autoSpaceDN w:val="0"/>
        <w:adjustRightInd w:val="0"/>
        <w:rPr>
          <w:rFonts w:ascii="ArialMT" w:hAnsi="ArialMT" w:cs="ArialMT"/>
        </w:rPr>
      </w:pPr>
      <w:r w:rsidRPr="00320722">
        <w:rPr>
          <w:rFonts w:ascii="ArialMT" w:hAnsi="ArialMT" w:cs="ArialMT"/>
        </w:rPr>
        <w:t xml:space="preserve">The </w:t>
      </w:r>
      <w:r w:rsidR="00457E5A">
        <w:rPr>
          <w:rFonts w:ascii="ArialMT" w:hAnsi="ArialMT" w:cs="ArialMT"/>
        </w:rPr>
        <w:t xml:space="preserve">chart above shows that the </w:t>
      </w:r>
      <w:r w:rsidRPr="00320722">
        <w:rPr>
          <w:rFonts w:ascii="ArialMT" w:hAnsi="ArialMT" w:cs="ArialMT"/>
        </w:rPr>
        <w:t xml:space="preserve">Fund was </w:t>
      </w:r>
      <w:r w:rsidR="00320722">
        <w:rPr>
          <w:rFonts w:ascii="ArialMT" w:hAnsi="ArialMT" w:cs="ArialMT"/>
        </w:rPr>
        <w:t xml:space="preserve">1% </w:t>
      </w:r>
      <w:r w:rsidRPr="00320722">
        <w:rPr>
          <w:rFonts w:ascii="ArialMT" w:hAnsi="ArialMT" w:cs="ArialMT"/>
        </w:rPr>
        <w:t>behind its benchmark</w:t>
      </w:r>
      <w:r w:rsidR="00457E5A">
        <w:rPr>
          <w:rFonts w:ascii="ArialMT" w:hAnsi="ArialMT" w:cs="ArialMT"/>
        </w:rPr>
        <w:t xml:space="preserve">.  The chart below analyses this relative return by asset class.  </w:t>
      </w:r>
      <w:r w:rsidRPr="00320722">
        <w:rPr>
          <w:rFonts w:ascii="ArialMT" w:hAnsi="ArialMT" w:cs="ArialMT"/>
        </w:rPr>
        <w:t xml:space="preserve"> </w:t>
      </w:r>
      <w:r w:rsidR="00457E5A">
        <w:rPr>
          <w:rFonts w:ascii="ArialMT" w:hAnsi="ArialMT" w:cs="ArialMT"/>
        </w:rPr>
        <w:t xml:space="preserve">It shows that the shortfall as compared to benchmark was largely a result of the </w:t>
      </w:r>
      <w:r w:rsidRPr="00320722">
        <w:rPr>
          <w:rFonts w:ascii="ArialMT" w:hAnsi="ArialMT" w:cs="ArialMT"/>
        </w:rPr>
        <w:t>under-performance reported by its active equity managers and its fixed interest manager</w:t>
      </w:r>
      <w:r w:rsidR="00320722" w:rsidRPr="00320722">
        <w:rPr>
          <w:rFonts w:ascii="ArialMT" w:hAnsi="ArialMT" w:cs="ArialMT"/>
        </w:rPr>
        <w:t xml:space="preserve">.  This public market under-performance </w:t>
      </w:r>
      <w:r w:rsidR="00457E5A">
        <w:rPr>
          <w:rFonts w:ascii="ArialMT" w:hAnsi="ArialMT" w:cs="ArialMT"/>
        </w:rPr>
        <w:t xml:space="preserve">(-1.5%) </w:t>
      </w:r>
      <w:r w:rsidR="00320722" w:rsidRPr="00320722">
        <w:rPr>
          <w:rFonts w:ascii="ArialMT" w:hAnsi="ArialMT" w:cs="ArialMT"/>
        </w:rPr>
        <w:t>was mitigated by good returns from the Fund's private equity and infrastructure investments</w:t>
      </w:r>
      <w:r w:rsidR="00457E5A">
        <w:rPr>
          <w:rFonts w:ascii="ArialMT" w:hAnsi="ArialMT" w:cs="ArialMT"/>
        </w:rPr>
        <w:t xml:space="preserve"> (+0.8%).</w:t>
      </w:r>
      <w:r w:rsidRPr="00320722">
        <w:rPr>
          <w:rFonts w:ascii="ArialMT" w:hAnsi="ArialMT" w:cs="ArialMT"/>
        </w:rPr>
        <w:t xml:space="preserve"> </w:t>
      </w:r>
      <w:r w:rsidR="007F1477">
        <w:rPr>
          <w:rFonts w:ascii="ArialMT" w:hAnsi="ArialMT" w:cs="ArialMT"/>
        </w:rPr>
        <w:t>The Fund's investment in a hedge fund continued to under-perform and was redeemed during the year.</w:t>
      </w:r>
    </w:p>
    <w:p w:rsidR="00A769C6" w:rsidRDefault="00A769C6" w:rsidP="00980A45">
      <w:pPr>
        <w:autoSpaceDE w:val="0"/>
        <w:autoSpaceDN w:val="0"/>
        <w:adjustRightInd w:val="0"/>
        <w:rPr>
          <w:rFonts w:ascii="ArialMT" w:hAnsi="ArialMT" w:cs="ArialMT"/>
          <w:highlight w:val="yellow"/>
        </w:rPr>
      </w:pPr>
    </w:p>
    <w:p w:rsidR="009F30A5" w:rsidRDefault="009F30A5" w:rsidP="00980A45">
      <w:pPr>
        <w:autoSpaceDE w:val="0"/>
        <w:autoSpaceDN w:val="0"/>
        <w:adjustRightInd w:val="0"/>
        <w:rPr>
          <w:rFonts w:ascii="ArialMT" w:hAnsi="ArialMT" w:cs="ArialMT"/>
          <w:highlight w:val="yellow"/>
        </w:rPr>
      </w:pPr>
    </w:p>
    <w:p w:rsidR="00287FDF" w:rsidRDefault="00287FDF" w:rsidP="00287FDF">
      <w:pPr>
        <w:autoSpaceDE w:val="0"/>
        <w:autoSpaceDN w:val="0"/>
        <w:adjustRightInd w:val="0"/>
        <w:rPr>
          <w:rFonts w:ascii="ArialMT" w:hAnsi="ArialMT" w:cs="ArialMT"/>
        </w:rPr>
      </w:pPr>
      <w:bookmarkStart w:id="0" w:name="_GoBack"/>
      <w:bookmarkEnd w:id="0"/>
      <w:r w:rsidRPr="00636522">
        <w:rPr>
          <w:rFonts w:ascii="ArialMT" w:hAnsi="ArialMT" w:cs="ArialMT"/>
        </w:rPr>
        <w:t xml:space="preserve">The Fund’s investment managers are set performance targets as shown in the Statement of Investment Principles. </w:t>
      </w:r>
      <w:hyperlink r:id="rId23" w:history="1">
        <w:r w:rsidR="009F30A5" w:rsidRPr="009F30A5">
          <w:rPr>
            <w:rStyle w:val="Hyperlink"/>
            <w:rFonts w:ascii="ArialMT" w:hAnsi="ArialMT" w:cs="ArialMT"/>
          </w:rPr>
          <w:t>Statement of Investment Principles</w:t>
        </w:r>
      </w:hyperlink>
      <w:r w:rsidR="009F30A5">
        <w:rPr>
          <w:rFonts w:ascii="ArialMT" w:hAnsi="ArialMT" w:cs="ArialMT"/>
        </w:rPr>
        <w:t xml:space="preserve">.  </w:t>
      </w:r>
      <w:r w:rsidRPr="00636522">
        <w:rPr>
          <w:rFonts w:ascii="ArialMT" w:hAnsi="ArialMT" w:cs="ArialMT"/>
        </w:rPr>
        <w:t>The overall performance target of each manager is measured over rolling three</w:t>
      </w:r>
      <w:r>
        <w:rPr>
          <w:rFonts w:ascii="ArialMT" w:hAnsi="ArialMT" w:cs="ArialMT"/>
        </w:rPr>
        <w:t xml:space="preserve"> and five </w:t>
      </w:r>
      <w:r w:rsidRPr="00636522">
        <w:rPr>
          <w:rFonts w:ascii="ArialMT" w:hAnsi="ArialMT" w:cs="ArialMT"/>
        </w:rPr>
        <w:t>year period</w:t>
      </w:r>
      <w:r>
        <w:rPr>
          <w:rFonts w:ascii="ArialMT" w:hAnsi="ArialMT" w:cs="ArialMT"/>
        </w:rPr>
        <w:t>s</w:t>
      </w:r>
      <w:r w:rsidRPr="00636522">
        <w:rPr>
          <w:rFonts w:ascii="ArialMT" w:hAnsi="ArialMT" w:cs="ArialMT"/>
        </w:rPr>
        <w:t>, as inevitably there will be short-term fluctuations in performance. These targets are set for the active managers i.e. those with a mandate to outperform a benchmark through active stock picking and sector allocations. The transition portfolio and that managed by Legal and General are passive portfolio</w:t>
      </w:r>
      <w:r>
        <w:rPr>
          <w:rFonts w:ascii="ArialMT" w:hAnsi="ArialMT" w:cs="ArialMT"/>
        </w:rPr>
        <w:t>s</w:t>
      </w:r>
      <w:r w:rsidRPr="00636522">
        <w:rPr>
          <w:rFonts w:ascii="ArialMT" w:hAnsi="ArialMT" w:cs="ArialMT"/>
        </w:rPr>
        <w:t xml:space="preserve"> where the manager seeks to track the benchmark.</w:t>
      </w:r>
    </w:p>
    <w:p w:rsidR="009F30A5" w:rsidRDefault="009F30A5" w:rsidP="00287FDF">
      <w:pPr>
        <w:autoSpaceDE w:val="0"/>
        <w:autoSpaceDN w:val="0"/>
        <w:adjustRightInd w:val="0"/>
        <w:rPr>
          <w:rFonts w:ascii="ArialMT" w:hAnsi="ArialMT" w:cs="ArialMT"/>
        </w:rPr>
      </w:pPr>
    </w:p>
    <w:p w:rsidR="009F30A5" w:rsidRDefault="009F30A5" w:rsidP="00287FDF">
      <w:pPr>
        <w:autoSpaceDE w:val="0"/>
        <w:autoSpaceDN w:val="0"/>
        <w:adjustRightInd w:val="0"/>
        <w:rPr>
          <w:rFonts w:ascii="ArialMT" w:hAnsi="ArialMT" w:cs="ArialMT"/>
        </w:rPr>
      </w:pPr>
    </w:p>
    <w:p w:rsidR="009F30A5" w:rsidRDefault="009F30A5" w:rsidP="00287FDF">
      <w:pPr>
        <w:autoSpaceDE w:val="0"/>
        <w:autoSpaceDN w:val="0"/>
        <w:adjustRightInd w:val="0"/>
        <w:rPr>
          <w:rFonts w:ascii="ArialMT" w:hAnsi="ArialMT" w:cs="ArialMT"/>
        </w:rPr>
      </w:pPr>
    </w:p>
    <w:p w:rsidR="00287FDF" w:rsidRDefault="00287FDF" w:rsidP="00287FDF">
      <w:pPr>
        <w:autoSpaceDE w:val="0"/>
        <w:autoSpaceDN w:val="0"/>
        <w:adjustRightInd w:val="0"/>
        <w:rPr>
          <w:rFonts w:ascii="ArialMT" w:hAnsi="ArialMT" w:cs="ArialMT"/>
        </w:rPr>
      </w:pPr>
    </w:p>
    <w:p w:rsidR="009F30A5" w:rsidRDefault="009F30A5" w:rsidP="00287FDF">
      <w:pPr>
        <w:autoSpaceDE w:val="0"/>
        <w:autoSpaceDN w:val="0"/>
        <w:adjustRightInd w:val="0"/>
        <w:rPr>
          <w:rFonts w:ascii="ArialMT" w:hAnsi="ArialMT" w:cs="ArialMT"/>
        </w:rPr>
      </w:pPr>
    </w:p>
    <w:p w:rsidR="00287FDF" w:rsidRDefault="00287FDF" w:rsidP="00287FDF">
      <w:pPr>
        <w:autoSpaceDE w:val="0"/>
        <w:autoSpaceDN w:val="0"/>
        <w:adjustRightInd w:val="0"/>
        <w:rPr>
          <w:rFonts w:ascii="ArialMT" w:hAnsi="ArialMT" w:cs="ArialMT"/>
        </w:rPr>
      </w:pPr>
      <w:r w:rsidRPr="00FE1645">
        <w:rPr>
          <w:rFonts w:ascii="ArialMT" w:hAnsi="ArialMT" w:cs="ArialMT"/>
        </w:rPr>
        <w:t>Active managers have the discretion to invest a smaller or greater amount than the benchmark allocation, within agreed constraints and tolerances. These decisions will reflect their views on market conditions within various countries or between different types of instruments. The one year performance of the managers to 31 March 2012 is shown in the chart</w:t>
      </w:r>
      <w:r>
        <w:rPr>
          <w:rFonts w:ascii="ArialMT" w:hAnsi="ArialMT" w:cs="ArialMT"/>
        </w:rPr>
        <w:t xml:space="preserve"> </w:t>
      </w:r>
      <w:r w:rsidRPr="00FE1645">
        <w:rPr>
          <w:rFonts w:ascii="ArialMT" w:hAnsi="ArialMT" w:cs="ArialMT"/>
        </w:rPr>
        <w:t>below:</w:t>
      </w:r>
    </w:p>
    <w:p w:rsidR="00287FDF" w:rsidRDefault="00287FDF" w:rsidP="00287FDF">
      <w:pPr>
        <w:autoSpaceDE w:val="0"/>
        <w:autoSpaceDN w:val="0"/>
        <w:adjustRightInd w:val="0"/>
        <w:rPr>
          <w:rFonts w:ascii="ArialMT" w:hAnsi="ArialMT" w:cs="ArialMT"/>
        </w:rPr>
      </w:pPr>
    </w:p>
    <w:p w:rsidR="001327AB" w:rsidRPr="0043789A" w:rsidRDefault="001844CD" w:rsidP="00287FDF">
      <w:pPr>
        <w:autoSpaceDE w:val="0"/>
        <w:autoSpaceDN w:val="0"/>
        <w:adjustRightInd w:val="0"/>
        <w:rPr>
          <w:rFonts w:ascii="Arial-BoldMT" w:hAnsi="Arial-BoldMT" w:cs="Arial-BoldMT"/>
          <w:b/>
          <w:bCs/>
          <w:szCs w:val="24"/>
          <w:highlight w:val="yellow"/>
        </w:rPr>
      </w:pPr>
      <w:r w:rsidRPr="001844CD">
        <w:rPr>
          <w:rFonts w:ascii="Arial-BoldMT" w:hAnsi="Arial-BoldMT" w:cs="Arial-BoldMT"/>
          <w:b/>
          <w:bCs/>
          <w:noProof/>
          <w:szCs w:val="24"/>
        </w:rPr>
        <w:drawing>
          <wp:inline distT="0" distB="0" distL="0" distR="0">
            <wp:extent cx="5943600" cy="3655695"/>
            <wp:effectExtent l="0" t="0" r="0"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327AB" w:rsidRPr="0043789A" w:rsidRDefault="001327AB" w:rsidP="00C333F3">
      <w:pPr>
        <w:autoSpaceDE w:val="0"/>
        <w:autoSpaceDN w:val="0"/>
        <w:adjustRightInd w:val="0"/>
        <w:rPr>
          <w:rFonts w:ascii="Arial-BoldMT" w:hAnsi="Arial-BoldMT" w:cs="Arial-BoldMT"/>
          <w:b/>
          <w:bCs/>
          <w:szCs w:val="24"/>
          <w:highlight w:val="yellow"/>
        </w:rPr>
      </w:pPr>
    </w:p>
    <w:p w:rsidR="00C333F3" w:rsidRPr="0043789A" w:rsidRDefault="00C333F3" w:rsidP="00C333F3">
      <w:pPr>
        <w:autoSpaceDE w:val="0"/>
        <w:autoSpaceDN w:val="0"/>
        <w:adjustRightInd w:val="0"/>
        <w:rPr>
          <w:rFonts w:ascii="Arial-BoldMT" w:hAnsi="Arial-BoldMT" w:cs="Arial-BoldMT"/>
          <w:b/>
          <w:bCs/>
          <w:szCs w:val="24"/>
          <w:highlight w:val="yellow"/>
        </w:rPr>
      </w:pPr>
    </w:p>
    <w:p w:rsidR="00C333F3" w:rsidRPr="0043789A" w:rsidRDefault="00C333F3" w:rsidP="00C333F3">
      <w:pPr>
        <w:autoSpaceDE w:val="0"/>
        <w:autoSpaceDN w:val="0"/>
        <w:adjustRightInd w:val="0"/>
        <w:rPr>
          <w:rFonts w:ascii="ArialMT" w:hAnsi="ArialMT" w:cs="ArialMT"/>
          <w:szCs w:val="24"/>
          <w:highlight w:val="yellow"/>
        </w:rPr>
      </w:pPr>
    </w:p>
    <w:p w:rsidR="00C333F3" w:rsidRPr="0043789A" w:rsidRDefault="00C333F3" w:rsidP="00C333F3">
      <w:pPr>
        <w:rPr>
          <w:b/>
          <w:sz w:val="28"/>
          <w:szCs w:val="28"/>
          <w:highlight w:val="yellow"/>
        </w:rPr>
      </w:pPr>
    </w:p>
    <w:p w:rsidR="00287FDF" w:rsidRPr="00FE1645" w:rsidRDefault="00287FDF" w:rsidP="00287FDF">
      <w:pPr>
        <w:rPr>
          <w:rFonts w:ascii="ArialMT" w:hAnsi="ArialMT" w:cs="ArialMT"/>
        </w:rPr>
      </w:pPr>
      <w:r w:rsidRPr="00FE1645">
        <w:rPr>
          <w:rFonts w:ascii="ArialMT" w:hAnsi="ArialMT" w:cs="ArialMT"/>
        </w:rPr>
        <w:t>The Legal &amp; General and the transition portfolio (managed by BNY Mellon) have tracked their respective benchmarks.</w:t>
      </w:r>
    </w:p>
    <w:p w:rsidR="00287FDF" w:rsidRPr="00FE1645" w:rsidRDefault="00287FDF" w:rsidP="00287FDF">
      <w:pPr>
        <w:rPr>
          <w:rFonts w:ascii="ArialMT" w:hAnsi="ArialMT" w:cs="ArialMT"/>
        </w:rPr>
      </w:pPr>
    </w:p>
    <w:p w:rsidR="00287FDF" w:rsidRDefault="00287FDF" w:rsidP="00287FDF">
      <w:pPr>
        <w:rPr>
          <w:rFonts w:ascii="ArialMT" w:hAnsi="ArialMT" w:cs="ArialMT"/>
        </w:rPr>
      </w:pPr>
      <w:r w:rsidRPr="00FE1645">
        <w:rPr>
          <w:rFonts w:ascii="ArialMT" w:hAnsi="ArialMT" w:cs="ArialMT"/>
        </w:rPr>
        <w:t xml:space="preserve">The portfolios </w:t>
      </w:r>
      <w:r>
        <w:rPr>
          <w:rFonts w:ascii="ArialMT" w:hAnsi="ArialMT" w:cs="ArialMT"/>
        </w:rPr>
        <w:t xml:space="preserve">core equity mandates </w:t>
      </w:r>
      <w:r w:rsidRPr="00FE1645">
        <w:rPr>
          <w:rFonts w:ascii="ArialMT" w:hAnsi="ArialMT" w:cs="ArialMT"/>
        </w:rPr>
        <w:t>managed by Newton (Global Equities)</w:t>
      </w:r>
      <w:r>
        <w:rPr>
          <w:rFonts w:ascii="ArialMT" w:hAnsi="ArialMT" w:cs="ArialMT"/>
        </w:rPr>
        <w:t xml:space="preserve"> and </w:t>
      </w:r>
      <w:r w:rsidRPr="00FE1645">
        <w:rPr>
          <w:rFonts w:ascii="ArialMT" w:hAnsi="ArialMT" w:cs="ArialMT"/>
        </w:rPr>
        <w:t>JP Morgan (UK Equities)</w:t>
      </w:r>
      <w:r>
        <w:rPr>
          <w:rFonts w:ascii="ArialMT" w:hAnsi="ArialMT" w:cs="ArialMT"/>
        </w:rPr>
        <w:t xml:space="preserve"> continued to under-perform their benchmarks.  Following a tender process for global equity managers, these managers will be replaced in the year ending 31</w:t>
      </w:r>
      <w:r w:rsidRPr="00FE1645">
        <w:rPr>
          <w:rFonts w:ascii="ArialMT" w:hAnsi="ArialMT" w:cs="ArialMT"/>
          <w:vertAlign w:val="superscript"/>
        </w:rPr>
        <w:t>st</w:t>
      </w:r>
      <w:r>
        <w:rPr>
          <w:rFonts w:ascii="ArialMT" w:hAnsi="ArialMT" w:cs="ArialMT"/>
        </w:rPr>
        <w:t xml:space="preserve"> March 2013.</w:t>
      </w:r>
    </w:p>
    <w:p w:rsidR="00287FDF" w:rsidRDefault="00287FDF" w:rsidP="00287FDF">
      <w:pPr>
        <w:rPr>
          <w:rFonts w:ascii="ArialMT" w:hAnsi="ArialMT" w:cs="ArialMT"/>
        </w:rPr>
      </w:pPr>
    </w:p>
    <w:p w:rsidR="00287FDF" w:rsidRDefault="00287FDF" w:rsidP="00287FDF">
      <w:pPr>
        <w:rPr>
          <w:rFonts w:ascii="ArialMT" w:hAnsi="ArialMT" w:cs="ArialMT"/>
        </w:rPr>
      </w:pPr>
      <w:r w:rsidRPr="001C3298">
        <w:rPr>
          <w:rFonts w:ascii="ArialMT" w:hAnsi="ArialMT" w:cs="ArialMT"/>
        </w:rPr>
        <w:t>The UBS bonds portfolio has not performed to benchmark in the year because it was overweight in corporate bonds at the expense of UK government bonds which benefited from the exceptionally low interest rates and high prices.</w:t>
      </w:r>
    </w:p>
    <w:p w:rsidR="00287FDF" w:rsidRDefault="00287FDF" w:rsidP="00287FDF">
      <w:pPr>
        <w:rPr>
          <w:rFonts w:ascii="ArialMT" w:hAnsi="ArialMT" w:cs="ArialMT"/>
        </w:rPr>
      </w:pPr>
    </w:p>
    <w:p w:rsidR="00287FDF" w:rsidRDefault="00287FDF" w:rsidP="00287FDF">
      <w:pPr>
        <w:rPr>
          <w:rFonts w:ascii="ArialMT" w:hAnsi="ArialMT" w:cs="ArialMT"/>
        </w:rPr>
      </w:pPr>
      <w:r>
        <w:rPr>
          <w:rFonts w:ascii="ArialMT" w:hAnsi="ArialMT" w:cs="ArialMT"/>
        </w:rPr>
        <w:t>The performance of the hedge fund managed by Gottex continued to be disappointing and this mandate was terminated during the year.</w:t>
      </w:r>
    </w:p>
    <w:p w:rsidR="00287FDF" w:rsidRDefault="00287FDF" w:rsidP="00287FDF">
      <w:pPr>
        <w:rPr>
          <w:rFonts w:ascii="ArialMT" w:hAnsi="ArialMT" w:cs="ArialMT"/>
        </w:rPr>
      </w:pPr>
    </w:p>
    <w:p w:rsidR="00287FDF" w:rsidRDefault="00287FDF" w:rsidP="00287FDF">
      <w:pPr>
        <w:rPr>
          <w:rFonts w:ascii="ArialMT" w:hAnsi="ArialMT" w:cs="ArialMT"/>
        </w:rPr>
      </w:pPr>
      <w:r>
        <w:rPr>
          <w:rFonts w:ascii="ArialMT" w:hAnsi="ArialMT" w:cs="ArialMT"/>
        </w:rPr>
        <w:t>The Fund’s property portfolio managed by Knight Frank continues to beat its benchmark long term, but its portfolio of high street retail properties suffered particularly in the current year.</w:t>
      </w:r>
    </w:p>
    <w:p w:rsidR="00287FDF" w:rsidRDefault="00287FDF" w:rsidP="00287FDF">
      <w:pPr>
        <w:rPr>
          <w:rFonts w:ascii="ArialMT" w:hAnsi="ArialMT" w:cs="ArialMT"/>
        </w:rPr>
      </w:pPr>
    </w:p>
    <w:p w:rsidR="00287FDF" w:rsidRDefault="00287FDF" w:rsidP="00287FDF">
      <w:pPr>
        <w:rPr>
          <w:rFonts w:ascii="ArialMT" w:hAnsi="ArialMT" w:cs="ArialMT"/>
        </w:rPr>
      </w:pPr>
      <w:r>
        <w:rPr>
          <w:rFonts w:ascii="ArialMT" w:hAnsi="ArialMT" w:cs="ArialMT"/>
        </w:rPr>
        <w:t xml:space="preserve">The private equity portfolio managed by Capital Dynamics is focussed on buy-out funds </w:t>
      </w:r>
      <w:r w:rsidR="00320722">
        <w:rPr>
          <w:rFonts w:ascii="ArialMT" w:hAnsi="ArialMT" w:cs="ArialMT"/>
        </w:rPr>
        <w:t xml:space="preserve">and </w:t>
      </w:r>
      <w:r>
        <w:rPr>
          <w:rFonts w:ascii="ArialMT" w:hAnsi="ArialMT" w:cs="ArialMT"/>
        </w:rPr>
        <w:t>produced a return ahead of benchmark.</w:t>
      </w:r>
    </w:p>
    <w:p w:rsidR="00287FDF" w:rsidRDefault="00287FDF" w:rsidP="00287FDF">
      <w:pPr>
        <w:rPr>
          <w:rFonts w:ascii="ArialMT" w:hAnsi="ArialMT" w:cs="ArialMT"/>
        </w:rPr>
      </w:pPr>
    </w:p>
    <w:p w:rsidR="00287FDF" w:rsidRDefault="00287FDF" w:rsidP="00287FDF">
      <w:pPr>
        <w:rPr>
          <w:rFonts w:ascii="ArialMT" w:hAnsi="ArialMT" w:cs="ArialMT"/>
        </w:rPr>
      </w:pPr>
      <w:r>
        <w:rPr>
          <w:rFonts w:ascii="ArialMT" w:hAnsi="ArialMT" w:cs="ArialMT"/>
        </w:rPr>
        <w:t xml:space="preserve">During the year the Fund has invested in a number of infrastructure asset funds, including the acquisition of assets out of administration, which produced an exceptional </w:t>
      </w:r>
      <w:r w:rsidR="00320722">
        <w:rPr>
          <w:rFonts w:ascii="ArialMT" w:hAnsi="ArialMT" w:cs="ArialMT"/>
        </w:rPr>
        <w:t xml:space="preserve">one-off </w:t>
      </w:r>
      <w:r>
        <w:rPr>
          <w:rFonts w:ascii="ArialMT" w:hAnsi="ArialMT" w:cs="ArialMT"/>
        </w:rPr>
        <w:t>return.</w:t>
      </w:r>
    </w:p>
    <w:p w:rsidR="00287FDF" w:rsidRDefault="00287FDF" w:rsidP="00287FDF">
      <w:pPr>
        <w:rPr>
          <w:rFonts w:ascii="ArialMT" w:hAnsi="ArialMT" w:cs="ArialMT"/>
        </w:rPr>
      </w:pPr>
    </w:p>
    <w:p w:rsidR="00287FDF" w:rsidRPr="00093379" w:rsidRDefault="00287FDF" w:rsidP="00287FDF">
      <w:pPr>
        <w:autoSpaceDE w:val="0"/>
        <w:autoSpaceDN w:val="0"/>
        <w:adjustRightInd w:val="0"/>
        <w:rPr>
          <w:rFonts w:ascii="ArialMT" w:hAnsi="ArialMT" w:cs="ArialMT"/>
        </w:rPr>
      </w:pPr>
      <w:r w:rsidRPr="00093379">
        <w:rPr>
          <w:rFonts w:ascii="ArialMT" w:hAnsi="ArialMT" w:cs="ArialMT"/>
        </w:rPr>
        <w:t xml:space="preserve">An analysis of the specialist managers’ performance over </w:t>
      </w:r>
      <w:r>
        <w:rPr>
          <w:rFonts w:ascii="ArialMT" w:hAnsi="ArialMT" w:cs="ArialMT"/>
        </w:rPr>
        <w:t>five</w:t>
      </w:r>
      <w:r w:rsidRPr="00093379">
        <w:rPr>
          <w:rFonts w:ascii="ArialMT" w:hAnsi="ArialMT" w:cs="ArialMT"/>
        </w:rPr>
        <w:t xml:space="preserve"> years is shown in the chart below:  </w:t>
      </w:r>
    </w:p>
    <w:p w:rsidR="00EB4217" w:rsidRPr="0043789A" w:rsidRDefault="00EB4217" w:rsidP="00EB4217">
      <w:pPr>
        <w:autoSpaceDE w:val="0"/>
        <w:autoSpaceDN w:val="0"/>
        <w:adjustRightInd w:val="0"/>
        <w:rPr>
          <w:rFonts w:ascii="ArialMT" w:hAnsi="ArialMT" w:cs="ArialMT"/>
          <w:szCs w:val="24"/>
          <w:highlight w:val="yellow"/>
        </w:rPr>
      </w:pPr>
    </w:p>
    <w:p w:rsidR="007C0414" w:rsidRPr="007C0414" w:rsidRDefault="007C0414" w:rsidP="007C0414">
      <w:pPr>
        <w:autoSpaceDE w:val="0"/>
        <w:autoSpaceDN w:val="0"/>
        <w:adjustRightInd w:val="0"/>
        <w:rPr>
          <w:rFonts w:ascii="Arial-BoldMT" w:hAnsi="Arial-BoldMT" w:cs="Arial-BoldMT"/>
          <w:b/>
          <w:bCs/>
          <w:szCs w:val="24"/>
          <w:highlight w:val="yellow"/>
        </w:rPr>
      </w:pPr>
    </w:p>
    <w:p w:rsidR="00480580" w:rsidRPr="0043789A" w:rsidRDefault="00480580" w:rsidP="00EB4217">
      <w:pPr>
        <w:autoSpaceDE w:val="0"/>
        <w:autoSpaceDN w:val="0"/>
        <w:adjustRightInd w:val="0"/>
        <w:rPr>
          <w:rFonts w:ascii="Arial-BoldMT" w:hAnsi="Arial-BoldMT" w:cs="Arial-BoldMT"/>
          <w:b/>
          <w:bCs/>
          <w:szCs w:val="24"/>
          <w:highlight w:val="yellow"/>
        </w:rPr>
      </w:pPr>
    </w:p>
    <w:p w:rsidR="0097045C" w:rsidRPr="0043789A" w:rsidRDefault="0086791E" w:rsidP="00EB4217">
      <w:pPr>
        <w:autoSpaceDE w:val="0"/>
        <w:autoSpaceDN w:val="0"/>
        <w:adjustRightInd w:val="0"/>
        <w:rPr>
          <w:rFonts w:ascii="ArialMT" w:hAnsi="ArialMT" w:cs="ArialMT"/>
          <w:szCs w:val="24"/>
          <w:highlight w:val="yellow"/>
        </w:rPr>
      </w:pPr>
      <w:r>
        <w:rPr>
          <w:rFonts w:ascii="ArialMT" w:hAnsi="ArialMT" w:cs="ArialMT"/>
          <w:noProof/>
          <w:szCs w:val="24"/>
        </w:rPr>
        <w:pict>
          <v:shapetype id="_x0000_t202" coordsize="21600,21600" o:spt="202" path="m,l,21600r21600,l21600,xe">
            <v:stroke joinstyle="miter"/>
            <v:path gradientshapeok="t" o:connecttype="rect"/>
          </v:shapetype>
          <v:shape id="_x0000_s1039" type="#_x0000_t202" style="position:absolute;margin-left:295.05pt;margin-top:240.45pt;width:30pt;height:72.75pt;z-index:251675648" filled="f" stroked="f">
            <v:textbox style="layout-flow:vertical">
              <w:txbxContent>
                <w:p w:rsidR="00A320D0" w:rsidRPr="007C0414" w:rsidRDefault="00A320D0">
                  <w:pPr>
                    <w:rPr>
                      <w:b/>
                      <w:sz w:val="18"/>
                      <w:szCs w:val="18"/>
                    </w:rPr>
                  </w:pPr>
                  <w:r>
                    <w:rPr>
                      <w:b/>
                      <w:sz w:val="18"/>
                      <w:szCs w:val="18"/>
                    </w:rPr>
                    <w:t>Knight Frank</w:t>
                  </w:r>
                </w:p>
              </w:txbxContent>
            </v:textbox>
          </v:shape>
        </w:pict>
      </w:r>
      <w:r w:rsidR="007C0414" w:rsidRPr="007C0414">
        <w:rPr>
          <w:rFonts w:ascii="ArialMT" w:hAnsi="ArialMT" w:cs="ArialMT"/>
          <w:noProof/>
          <w:szCs w:val="24"/>
        </w:rPr>
        <w:drawing>
          <wp:inline distT="0" distB="0" distL="0" distR="0">
            <wp:extent cx="5943600" cy="6345555"/>
            <wp:effectExtent l="0" t="0" r="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7C0414" w:rsidRPr="007C0414">
        <w:rPr>
          <w:noProof/>
        </w:rPr>
        <w:t xml:space="preserve"> </w:t>
      </w:r>
    </w:p>
    <w:p w:rsidR="00EB4217" w:rsidRPr="00B07458" w:rsidRDefault="00EB4217" w:rsidP="00EB4217">
      <w:pPr>
        <w:autoSpaceDE w:val="0"/>
        <w:autoSpaceDN w:val="0"/>
        <w:adjustRightInd w:val="0"/>
        <w:rPr>
          <w:szCs w:val="24"/>
          <w:highlight w:val="yellow"/>
        </w:rPr>
      </w:pPr>
    </w:p>
    <w:p w:rsidR="00154DD3" w:rsidRPr="00B07458" w:rsidRDefault="00154DD3" w:rsidP="00EB4217">
      <w:pPr>
        <w:autoSpaceDE w:val="0"/>
        <w:autoSpaceDN w:val="0"/>
        <w:adjustRightInd w:val="0"/>
        <w:rPr>
          <w:rFonts w:ascii="ArialMT" w:hAnsi="ArialMT" w:cs="ArialMT"/>
          <w:szCs w:val="24"/>
          <w:highlight w:val="yellow"/>
        </w:rPr>
      </w:pPr>
    </w:p>
    <w:p w:rsidR="00B22B38" w:rsidRDefault="00B22B38" w:rsidP="00EB4217">
      <w:pPr>
        <w:autoSpaceDE w:val="0"/>
        <w:autoSpaceDN w:val="0"/>
        <w:adjustRightInd w:val="0"/>
        <w:rPr>
          <w:rFonts w:ascii="ArialMT" w:hAnsi="ArialMT" w:cs="ArialMT"/>
          <w:szCs w:val="24"/>
        </w:rPr>
      </w:pPr>
    </w:p>
    <w:p w:rsidR="00D71797" w:rsidRDefault="00010A11" w:rsidP="00EB4217">
      <w:pPr>
        <w:autoSpaceDE w:val="0"/>
        <w:autoSpaceDN w:val="0"/>
        <w:adjustRightInd w:val="0"/>
        <w:rPr>
          <w:rFonts w:ascii="ArialMT" w:hAnsi="ArialMT" w:cs="ArialMT"/>
          <w:szCs w:val="24"/>
        </w:rPr>
      </w:pPr>
      <w:r>
        <w:rPr>
          <w:rFonts w:ascii="ArialMT" w:hAnsi="ArialMT" w:cs="ArialMT"/>
          <w:szCs w:val="24"/>
        </w:rPr>
        <w:t xml:space="preserve">Measured over five years, the continuing under-performance of the Fund's active equity managers, Newton and JP Morgan is clear.  As </w:t>
      </w:r>
      <w:r w:rsidR="00320722">
        <w:rPr>
          <w:rFonts w:ascii="ArialMT" w:hAnsi="ArialMT" w:cs="ArialMT"/>
          <w:szCs w:val="24"/>
        </w:rPr>
        <w:t>reported</w:t>
      </w:r>
      <w:r>
        <w:rPr>
          <w:rFonts w:ascii="ArialMT" w:hAnsi="ArialMT" w:cs="ArialMT"/>
          <w:szCs w:val="24"/>
        </w:rPr>
        <w:t xml:space="preserve"> above these mandates will </w:t>
      </w:r>
      <w:r w:rsidR="002F77BC">
        <w:rPr>
          <w:rFonts w:ascii="ArialMT" w:hAnsi="ArialMT" w:cs="ArialMT"/>
          <w:szCs w:val="24"/>
        </w:rPr>
        <w:t xml:space="preserve">be terminated </w:t>
      </w:r>
      <w:r>
        <w:rPr>
          <w:rFonts w:ascii="ArialMT" w:hAnsi="ArialMT" w:cs="ArialMT"/>
          <w:szCs w:val="24"/>
        </w:rPr>
        <w:t>in the year ended 31</w:t>
      </w:r>
      <w:r w:rsidRPr="00010A11">
        <w:rPr>
          <w:rFonts w:ascii="ArialMT" w:hAnsi="ArialMT" w:cs="ArialMT"/>
          <w:szCs w:val="24"/>
          <w:vertAlign w:val="superscript"/>
        </w:rPr>
        <w:t>st</w:t>
      </w:r>
      <w:r>
        <w:rPr>
          <w:rFonts w:ascii="ArialMT" w:hAnsi="ArialMT" w:cs="ArialMT"/>
          <w:szCs w:val="24"/>
        </w:rPr>
        <w:t xml:space="preserve"> March 2013</w:t>
      </w:r>
      <w:r w:rsidR="002F77BC">
        <w:rPr>
          <w:rFonts w:ascii="ArialMT" w:hAnsi="ArialMT" w:cs="ArialMT"/>
          <w:szCs w:val="24"/>
        </w:rPr>
        <w:t>, to be replaced by unconstrained global equity mandates.</w:t>
      </w:r>
    </w:p>
    <w:p w:rsidR="00010A11" w:rsidRDefault="00010A11" w:rsidP="00EB4217">
      <w:pPr>
        <w:autoSpaceDE w:val="0"/>
        <w:autoSpaceDN w:val="0"/>
        <w:adjustRightInd w:val="0"/>
        <w:rPr>
          <w:rFonts w:ascii="ArialMT" w:hAnsi="ArialMT" w:cs="ArialMT"/>
          <w:szCs w:val="24"/>
        </w:rPr>
      </w:pPr>
    </w:p>
    <w:p w:rsidR="00010A11" w:rsidRDefault="00010A11" w:rsidP="00EB4217">
      <w:pPr>
        <w:autoSpaceDE w:val="0"/>
        <w:autoSpaceDN w:val="0"/>
        <w:adjustRightInd w:val="0"/>
        <w:rPr>
          <w:rFonts w:ascii="ArialMT" w:hAnsi="ArialMT" w:cs="ArialMT"/>
          <w:szCs w:val="24"/>
        </w:rPr>
      </w:pPr>
      <w:r>
        <w:rPr>
          <w:rFonts w:ascii="ArialMT" w:hAnsi="ArialMT" w:cs="ArialMT"/>
          <w:szCs w:val="24"/>
        </w:rPr>
        <w:t>The passive tracking portfolios managed by L&amp;G have performed to their benchmarks.</w:t>
      </w:r>
    </w:p>
    <w:p w:rsidR="00010A11" w:rsidRDefault="00010A11" w:rsidP="00EB4217">
      <w:pPr>
        <w:autoSpaceDE w:val="0"/>
        <w:autoSpaceDN w:val="0"/>
        <w:adjustRightInd w:val="0"/>
        <w:rPr>
          <w:rFonts w:ascii="ArialMT" w:hAnsi="ArialMT" w:cs="ArialMT"/>
          <w:szCs w:val="24"/>
        </w:rPr>
      </w:pPr>
    </w:p>
    <w:p w:rsidR="00413712" w:rsidRDefault="00413712" w:rsidP="00EB4217">
      <w:pPr>
        <w:autoSpaceDE w:val="0"/>
        <w:autoSpaceDN w:val="0"/>
        <w:adjustRightInd w:val="0"/>
        <w:rPr>
          <w:rFonts w:ascii="ArialMT" w:hAnsi="ArialMT" w:cs="ArialMT"/>
          <w:szCs w:val="24"/>
        </w:rPr>
      </w:pPr>
      <w:r>
        <w:rPr>
          <w:rFonts w:ascii="ArialMT" w:hAnsi="ArialMT" w:cs="ArialMT"/>
          <w:szCs w:val="24"/>
        </w:rPr>
        <w:t>While t</w:t>
      </w:r>
      <w:r w:rsidR="00010A11">
        <w:rPr>
          <w:rFonts w:ascii="ArialMT" w:hAnsi="ArialMT" w:cs="ArialMT"/>
          <w:szCs w:val="24"/>
        </w:rPr>
        <w:t xml:space="preserve">he property portfolio has </w:t>
      </w:r>
      <w:r>
        <w:rPr>
          <w:rFonts w:ascii="ArialMT" w:hAnsi="ArialMT" w:cs="ArialMT"/>
          <w:szCs w:val="24"/>
        </w:rPr>
        <w:t xml:space="preserve">produced </w:t>
      </w:r>
      <w:r w:rsidR="00010A11">
        <w:rPr>
          <w:rFonts w:ascii="ArialMT" w:hAnsi="ArialMT" w:cs="ArialMT"/>
          <w:szCs w:val="24"/>
        </w:rPr>
        <w:t xml:space="preserve">a </w:t>
      </w:r>
      <w:r>
        <w:rPr>
          <w:rFonts w:ascii="ArialMT" w:hAnsi="ArialMT" w:cs="ArialMT"/>
          <w:szCs w:val="24"/>
        </w:rPr>
        <w:t>negative return over five years, Knight Frank ha</w:t>
      </w:r>
      <w:r w:rsidR="002F77BC">
        <w:rPr>
          <w:rFonts w:ascii="ArialMT" w:hAnsi="ArialMT" w:cs="ArialMT"/>
          <w:szCs w:val="24"/>
        </w:rPr>
        <w:t>s</w:t>
      </w:r>
      <w:r>
        <w:rPr>
          <w:rFonts w:ascii="ArialMT" w:hAnsi="ArialMT" w:cs="ArialMT"/>
          <w:szCs w:val="24"/>
        </w:rPr>
        <w:t xml:space="preserve"> out-performed the benchmark.  The five year period returns are </w:t>
      </w:r>
      <w:r w:rsidR="00320722">
        <w:rPr>
          <w:rFonts w:ascii="ArialMT" w:hAnsi="ArialMT" w:cs="ArialMT"/>
          <w:szCs w:val="24"/>
        </w:rPr>
        <w:t xml:space="preserve">also </w:t>
      </w:r>
      <w:r>
        <w:rPr>
          <w:rFonts w:ascii="ArialMT" w:hAnsi="ArialMT" w:cs="ArialMT"/>
          <w:szCs w:val="24"/>
        </w:rPr>
        <w:t xml:space="preserve">distorted by the sharp fall in </w:t>
      </w:r>
      <w:r w:rsidR="002F77BC">
        <w:rPr>
          <w:rFonts w:ascii="ArialMT" w:hAnsi="ArialMT" w:cs="ArialMT"/>
          <w:szCs w:val="24"/>
        </w:rPr>
        <w:t xml:space="preserve">property </w:t>
      </w:r>
      <w:r>
        <w:rPr>
          <w:rFonts w:ascii="ArialMT" w:hAnsi="ArialMT" w:cs="ArialMT"/>
          <w:szCs w:val="24"/>
        </w:rPr>
        <w:t>values in 2008.</w:t>
      </w:r>
    </w:p>
    <w:p w:rsidR="00413712" w:rsidRDefault="00413712" w:rsidP="00EB4217">
      <w:pPr>
        <w:autoSpaceDE w:val="0"/>
        <w:autoSpaceDN w:val="0"/>
        <w:adjustRightInd w:val="0"/>
        <w:rPr>
          <w:rFonts w:ascii="ArialMT" w:hAnsi="ArialMT" w:cs="ArialMT"/>
          <w:szCs w:val="24"/>
        </w:rPr>
      </w:pPr>
    </w:p>
    <w:p w:rsidR="00010A11" w:rsidRPr="00010A11" w:rsidRDefault="00413712" w:rsidP="00EB4217">
      <w:pPr>
        <w:autoSpaceDE w:val="0"/>
        <w:autoSpaceDN w:val="0"/>
        <w:adjustRightInd w:val="0"/>
        <w:rPr>
          <w:rFonts w:ascii="ArialMT" w:hAnsi="ArialMT" w:cs="ArialMT"/>
          <w:szCs w:val="24"/>
        </w:rPr>
      </w:pPr>
      <w:r>
        <w:rPr>
          <w:rFonts w:ascii="ArialMT" w:hAnsi="ArialMT" w:cs="ArialMT"/>
          <w:szCs w:val="24"/>
        </w:rPr>
        <w:t>The private equity mandate managed by Capital Dynamics has significantly out-perfor</w:t>
      </w:r>
      <w:r w:rsidR="00042AA6">
        <w:rPr>
          <w:rFonts w:ascii="ArialMT" w:hAnsi="ArialMT" w:cs="ArialMT"/>
          <w:szCs w:val="24"/>
        </w:rPr>
        <w:t>med its public market benchmark by 5.8% per year.</w:t>
      </w:r>
      <w:r>
        <w:rPr>
          <w:rFonts w:ascii="ArialMT" w:hAnsi="ArialMT" w:cs="ArialMT"/>
          <w:szCs w:val="24"/>
        </w:rPr>
        <w:t xml:space="preserve"> </w:t>
      </w:r>
    </w:p>
    <w:p w:rsidR="00D71797" w:rsidRPr="00B07458" w:rsidRDefault="00D71797" w:rsidP="00EB4217">
      <w:pPr>
        <w:autoSpaceDE w:val="0"/>
        <w:autoSpaceDN w:val="0"/>
        <w:adjustRightInd w:val="0"/>
        <w:rPr>
          <w:rFonts w:ascii="ArialMT" w:hAnsi="ArialMT" w:cs="ArialMT"/>
          <w:szCs w:val="24"/>
          <w:highlight w:val="yellow"/>
        </w:rPr>
      </w:pPr>
    </w:p>
    <w:p w:rsidR="00EB4217" w:rsidRPr="00B07458" w:rsidRDefault="0086791E" w:rsidP="00EB4217">
      <w:pPr>
        <w:autoSpaceDE w:val="0"/>
        <w:autoSpaceDN w:val="0"/>
        <w:adjustRightInd w:val="0"/>
        <w:rPr>
          <w:rFonts w:ascii="ArialMT" w:hAnsi="ArialMT" w:cs="ArialMT"/>
          <w:noProof/>
          <w:szCs w:val="24"/>
          <w:highlight w:val="yellow"/>
        </w:rPr>
      </w:pPr>
      <w:r w:rsidRPr="0086791E">
        <w:rPr>
          <w:rFonts w:ascii="ArialMT" w:hAnsi="ArialMT" w:cs="ArialMT"/>
          <w:noProof/>
          <w:szCs w:val="24"/>
          <w:highlight w:val="yellow"/>
        </w:rPr>
        <w:pict>
          <v:shape id="_x0000_s1027" type="#_x0000_t202" style="position:absolute;margin-left:352.05pt;margin-top:29.25pt;width:3.55pt;height:3.55pt;z-index:251664384" stroked="f">
            <v:textbox style="mso-next-textbox:#_x0000_s1027">
              <w:txbxContent>
                <w:p w:rsidR="00A320D0" w:rsidRPr="0003312C" w:rsidRDefault="00A320D0">
                  <w:pPr>
                    <w:rPr>
                      <w:b/>
                      <w:sz w:val="20"/>
                    </w:rPr>
                  </w:pPr>
                  <w:r w:rsidRPr="0003312C">
                    <w:rPr>
                      <w:b/>
                      <w:sz w:val="20"/>
                    </w:rPr>
                    <w:t>n/a</w:t>
                  </w:r>
                </w:p>
              </w:txbxContent>
            </v:textbox>
          </v:shape>
        </w:pict>
      </w:r>
    </w:p>
    <w:p w:rsidR="00456AFD" w:rsidRDefault="00F533C3" w:rsidP="00EB4217">
      <w:pPr>
        <w:autoSpaceDE w:val="0"/>
        <w:autoSpaceDN w:val="0"/>
        <w:adjustRightInd w:val="0"/>
        <w:rPr>
          <w:rFonts w:ascii="ArialMT" w:hAnsi="ArialMT" w:cs="ArialMT"/>
          <w:noProof/>
          <w:szCs w:val="24"/>
          <w:highlight w:val="yellow"/>
        </w:rPr>
      </w:pPr>
      <w:r w:rsidRPr="00F533C3">
        <w:rPr>
          <w:rFonts w:ascii="ArialMT" w:hAnsi="ArialMT" w:cs="ArialMT"/>
          <w:noProof/>
          <w:szCs w:val="24"/>
        </w:rPr>
        <w:drawing>
          <wp:inline distT="0" distB="0" distL="0" distR="0">
            <wp:extent cx="5943600" cy="4043045"/>
            <wp:effectExtent l="0" t="0" r="0"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678C9" w:rsidRDefault="00F678C9" w:rsidP="00EB4217">
      <w:pPr>
        <w:autoSpaceDE w:val="0"/>
        <w:autoSpaceDN w:val="0"/>
        <w:adjustRightInd w:val="0"/>
        <w:rPr>
          <w:rFonts w:ascii="ArialMT" w:hAnsi="ArialMT" w:cs="ArialMT"/>
          <w:noProof/>
          <w:szCs w:val="24"/>
          <w:highlight w:val="yellow"/>
        </w:rPr>
      </w:pPr>
    </w:p>
    <w:p w:rsidR="00F678C9" w:rsidRDefault="00F678C9" w:rsidP="00EB4217">
      <w:pPr>
        <w:autoSpaceDE w:val="0"/>
        <w:autoSpaceDN w:val="0"/>
        <w:adjustRightInd w:val="0"/>
        <w:rPr>
          <w:rFonts w:ascii="ArialMT" w:hAnsi="ArialMT" w:cs="ArialMT"/>
          <w:noProof/>
          <w:szCs w:val="24"/>
          <w:highlight w:val="yellow"/>
        </w:rPr>
      </w:pPr>
    </w:p>
    <w:p w:rsidR="00F678C9" w:rsidRPr="00B07458" w:rsidRDefault="00F678C9" w:rsidP="00EB4217">
      <w:pPr>
        <w:autoSpaceDE w:val="0"/>
        <w:autoSpaceDN w:val="0"/>
        <w:adjustRightInd w:val="0"/>
        <w:rPr>
          <w:rFonts w:ascii="ArialMT" w:hAnsi="ArialMT" w:cs="ArialMT"/>
          <w:noProof/>
          <w:szCs w:val="24"/>
          <w:highlight w:val="yellow"/>
        </w:rPr>
      </w:pPr>
    </w:p>
    <w:p w:rsidR="002D2D4D" w:rsidRDefault="00010A11" w:rsidP="00010A11">
      <w:pPr>
        <w:autoSpaceDE w:val="0"/>
        <w:autoSpaceDN w:val="0"/>
        <w:adjustRightInd w:val="0"/>
        <w:rPr>
          <w:rFonts w:ascii="ArialMT" w:hAnsi="ArialMT" w:cs="ArialMT"/>
          <w:noProof/>
          <w:szCs w:val="24"/>
        </w:rPr>
      </w:pPr>
      <w:r w:rsidRPr="008B4BCA">
        <w:rPr>
          <w:rFonts w:ascii="ArialMT" w:hAnsi="ArialMT" w:cs="ArialMT"/>
          <w:noProof/>
          <w:szCs w:val="24"/>
        </w:rPr>
        <w:t xml:space="preserve">The Fund </w:t>
      </w:r>
      <w:r>
        <w:rPr>
          <w:rFonts w:ascii="ArialMT" w:hAnsi="ArialMT" w:cs="ArialMT"/>
          <w:noProof/>
          <w:szCs w:val="24"/>
        </w:rPr>
        <w:t>is</w:t>
      </w:r>
      <w:r w:rsidRPr="008B4BCA">
        <w:rPr>
          <w:rFonts w:ascii="ArialMT" w:hAnsi="ArialMT" w:cs="ArialMT"/>
          <w:noProof/>
          <w:szCs w:val="24"/>
        </w:rPr>
        <w:t xml:space="preserve"> continu</w:t>
      </w:r>
      <w:r>
        <w:rPr>
          <w:rFonts w:ascii="ArialMT" w:hAnsi="ArialMT" w:cs="ArialMT"/>
          <w:noProof/>
          <w:szCs w:val="24"/>
        </w:rPr>
        <w:t>ing</w:t>
      </w:r>
      <w:r w:rsidRPr="008B4BCA">
        <w:rPr>
          <w:rFonts w:ascii="ArialMT" w:hAnsi="ArialMT" w:cs="ArialMT"/>
          <w:noProof/>
          <w:szCs w:val="24"/>
        </w:rPr>
        <w:t xml:space="preserve"> with </w:t>
      </w:r>
      <w:r w:rsidR="002F77BC">
        <w:rPr>
          <w:rFonts w:ascii="ArialMT" w:hAnsi="ArialMT" w:cs="ArialMT"/>
          <w:noProof/>
          <w:szCs w:val="24"/>
        </w:rPr>
        <w:t>to implement its new investment strategy</w:t>
      </w:r>
      <w:r w:rsidR="000E47DB">
        <w:rPr>
          <w:rFonts w:ascii="ArialMT" w:hAnsi="ArialMT" w:cs="ArialMT"/>
          <w:noProof/>
          <w:szCs w:val="24"/>
        </w:rPr>
        <w:t xml:space="preserve">, and is actively </w:t>
      </w:r>
      <w:r w:rsidRPr="008B4BCA">
        <w:rPr>
          <w:rFonts w:ascii="ArialMT" w:hAnsi="ArialMT" w:cs="ArialMT"/>
          <w:noProof/>
          <w:szCs w:val="24"/>
        </w:rPr>
        <w:t xml:space="preserve"> bringing asset allocations up to the agreed benchmark</w:t>
      </w:r>
      <w:r>
        <w:rPr>
          <w:rFonts w:ascii="ArialMT" w:hAnsi="ArialMT" w:cs="ArialMT"/>
          <w:noProof/>
          <w:szCs w:val="24"/>
        </w:rPr>
        <w:t>.  In the year it has commited funds to infrastructure funds and a non-investment grade fixed interest fund</w:t>
      </w:r>
      <w:r w:rsidR="002D2D4D">
        <w:rPr>
          <w:rFonts w:ascii="ArialMT" w:hAnsi="ArialMT" w:cs="ArialMT"/>
          <w:noProof/>
          <w:szCs w:val="24"/>
        </w:rPr>
        <w:t xml:space="preserve"> and redeemed its hedge fund investment</w:t>
      </w:r>
      <w:r>
        <w:rPr>
          <w:rFonts w:ascii="ArialMT" w:hAnsi="ArialMT" w:cs="ArialMT"/>
          <w:noProof/>
          <w:szCs w:val="24"/>
        </w:rPr>
        <w:t xml:space="preserve">.  </w:t>
      </w:r>
    </w:p>
    <w:p w:rsidR="002D2D4D" w:rsidRDefault="002D2D4D" w:rsidP="00010A11">
      <w:pPr>
        <w:autoSpaceDE w:val="0"/>
        <w:autoSpaceDN w:val="0"/>
        <w:adjustRightInd w:val="0"/>
        <w:rPr>
          <w:rFonts w:ascii="ArialMT" w:hAnsi="ArialMT" w:cs="ArialMT"/>
          <w:noProof/>
          <w:szCs w:val="24"/>
        </w:rPr>
      </w:pPr>
    </w:p>
    <w:p w:rsidR="00010A11" w:rsidRPr="008B4BCA" w:rsidRDefault="002D2D4D" w:rsidP="00010A11">
      <w:pPr>
        <w:autoSpaceDE w:val="0"/>
        <w:autoSpaceDN w:val="0"/>
        <w:adjustRightInd w:val="0"/>
        <w:rPr>
          <w:rFonts w:ascii="ArialMT" w:hAnsi="ArialMT" w:cs="ArialMT"/>
          <w:noProof/>
          <w:szCs w:val="24"/>
        </w:rPr>
      </w:pPr>
      <w:r>
        <w:rPr>
          <w:rFonts w:ascii="ArialMT" w:hAnsi="ArialMT" w:cs="ArialMT"/>
          <w:noProof/>
          <w:szCs w:val="24"/>
        </w:rPr>
        <w:t>While paid up investments in infrastructure funds represent 1.7% of the value of the Fund, the Fund also has unpaid commitments to infrastructure funds equivalent to 2% of the value of the Fund at 31</w:t>
      </w:r>
      <w:r w:rsidR="00E80588" w:rsidRPr="00E80588">
        <w:rPr>
          <w:rFonts w:ascii="ArialMT" w:hAnsi="ArialMT" w:cs="ArialMT"/>
          <w:noProof/>
          <w:szCs w:val="24"/>
          <w:vertAlign w:val="superscript"/>
        </w:rPr>
        <w:t>st</w:t>
      </w:r>
      <w:r>
        <w:rPr>
          <w:rFonts w:ascii="ArialMT" w:hAnsi="ArialMT" w:cs="ArialMT"/>
          <w:noProof/>
          <w:szCs w:val="24"/>
        </w:rPr>
        <w:t xml:space="preserve"> March 2012. </w:t>
      </w:r>
    </w:p>
    <w:p w:rsidR="00EE6902" w:rsidRDefault="00EE6902" w:rsidP="00EB4217">
      <w:pPr>
        <w:autoSpaceDE w:val="0"/>
        <w:autoSpaceDN w:val="0"/>
        <w:adjustRightInd w:val="0"/>
        <w:rPr>
          <w:rFonts w:ascii="ArialMT" w:hAnsi="ArialMT" w:cs="ArialMT"/>
          <w:noProof/>
          <w:szCs w:val="24"/>
          <w:highlight w:val="yellow"/>
        </w:rPr>
      </w:pPr>
    </w:p>
    <w:p w:rsidR="00F678C9" w:rsidRDefault="00F678C9" w:rsidP="00EB4217">
      <w:pPr>
        <w:autoSpaceDE w:val="0"/>
        <w:autoSpaceDN w:val="0"/>
        <w:adjustRightInd w:val="0"/>
        <w:rPr>
          <w:rFonts w:ascii="ArialMT" w:hAnsi="ArialMT" w:cs="ArialMT"/>
          <w:noProof/>
          <w:szCs w:val="24"/>
          <w:highlight w:val="yellow"/>
        </w:rPr>
      </w:pPr>
    </w:p>
    <w:p w:rsidR="00F678C9" w:rsidRDefault="00F678C9" w:rsidP="00EB4217">
      <w:pPr>
        <w:autoSpaceDE w:val="0"/>
        <w:autoSpaceDN w:val="0"/>
        <w:adjustRightInd w:val="0"/>
        <w:rPr>
          <w:rFonts w:ascii="ArialMT" w:hAnsi="ArialMT" w:cs="ArialMT"/>
          <w:noProof/>
          <w:szCs w:val="24"/>
          <w:highlight w:val="yellow"/>
        </w:rPr>
      </w:pPr>
    </w:p>
    <w:p w:rsidR="000D5991" w:rsidRDefault="000D5991" w:rsidP="00EB4217">
      <w:pPr>
        <w:autoSpaceDE w:val="0"/>
        <w:autoSpaceDN w:val="0"/>
        <w:adjustRightInd w:val="0"/>
        <w:rPr>
          <w:rFonts w:ascii="ArialMT" w:hAnsi="ArialMT" w:cs="ArialMT"/>
          <w:noProof/>
          <w:szCs w:val="24"/>
        </w:rPr>
      </w:pPr>
      <w:r>
        <w:rPr>
          <w:rFonts w:ascii="ArialMT" w:hAnsi="ArialMT" w:cs="ArialMT"/>
          <w:noProof/>
          <w:szCs w:val="24"/>
        </w:rPr>
        <w:t xml:space="preserve">The largest </w:t>
      </w:r>
      <w:r w:rsidR="00754C99">
        <w:rPr>
          <w:rFonts w:ascii="ArialMT" w:hAnsi="ArialMT" w:cs="ArialMT"/>
          <w:noProof/>
          <w:szCs w:val="24"/>
        </w:rPr>
        <w:t xml:space="preserve">individual </w:t>
      </w:r>
      <w:r>
        <w:rPr>
          <w:rFonts w:ascii="ArialMT" w:hAnsi="ArialMT" w:cs="ArialMT"/>
          <w:noProof/>
          <w:szCs w:val="24"/>
        </w:rPr>
        <w:t>direct investments of the Fund are disclosed in the following paragraphs.</w:t>
      </w:r>
    </w:p>
    <w:p w:rsidR="000D5991" w:rsidRDefault="000D5991" w:rsidP="00EB4217">
      <w:pPr>
        <w:autoSpaceDE w:val="0"/>
        <w:autoSpaceDN w:val="0"/>
        <w:adjustRightInd w:val="0"/>
        <w:rPr>
          <w:rFonts w:ascii="ArialMT" w:hAnsi="ArialMT" w:cs="ArialMT"/>
          <w:noProof/>
          <w:szCs w:val="24"/>
        </w:rPr>
      </w:pPr>
    </w:p>
    <w:p w:rsidR="00B22B38" w:rsidRDefault="00B22B38" w:rsidP="00EB4217">
      <w:pPr>
        <w:autoSpaceDE w:val="0"/>
        <w:autoSpaceDN w:val="0"/>
        <w:adjustRightInd w:val="0"/>
        <w:rPr>
          <w:rFonts w:ascii="ArialMT" w:hAnsi="ArialMT" w:cs="ArialMT"/>
          <w:noProof/>
          <w:szCs w:val="24"/>
        </w:rPr>
      </w:pPr>
    </w:p>
    <w:p w:rsidR="00456AFD" w:rsidRDefault="000D5991" w:rsidP="00EB4217">
      <w:pPr>
        <w:autoSpaceDE w:val="0"/>
        <w:autoSpaceDN w:val="0"/>
        <w:adjustRightInd w:val="0"/>
        <w:rPr>
          <w:rFonts w:ascii="ArialMT" w:hAnsi="ArialMT" w:cs="ArialMT"/>
          <w:noProof/>
          <w:szCs w:val="24"/>
        </w:rPr>
      </w:pPr>
      <w:r>
        <w:rPr>
          <w:rFonts w:ascii="ArialMT" w:hAnsi="ArialMT" w:cs="ArialMT"/>
          <w:noProof/>
          <w:szCs w:val="24"/>
        </w:rPr>
        <w:t xml:space="preserve">The </w:t>
      </w:r>
      <w:r w:rsidR="00456AFD" w:rsidRPr="000B2827">
        <w:rPr>
          <w:rFonts w:ascii="ArialMT" w:hAnsi="ArialMT" w:cs="ArialMT"/>
          <w:noProof/>
          <w:szCs w:val="24"/>
        </w:rPr>
        <w:t xml:space="preserve">Largest </w:t>
      </w:r>
      <w:r w:rsidR="00F570B3" w:rsidRPr="000B2827">
        <w:rPr>
          <w:rFonts w:ascii="ArialMT" w:hAnsi="ArialMT" w:cs="ArialMT"/>
          <w:noProof/>
          <w:szCs w:val="24"/>
        </w:rPr>
        <w:t>ten</w:t>
      </w:r>
      <w:r w:rsidR="00456AFD" w:rsidRPr="000B2827">
        <w:rPr>
          <w:rFonts w:ascii="ArialMT" w:hAnsi="ArialMT" w:cs="ArialMT"/>
          <w:noProof/>
          <w:szCs w:val="24"/>
        </w:rPr>
        <w:t xml:space="preserve"> equity holdings of the Fund at 31 March 201</w:t>
      </w:r>
      <w:r w:rsidR="0043789A">
        <w:rPr>
          <w:rFonts w:ascii="ArialMT" w:hAnsi="ArialMT" w:cs="ArialMT"/>
          <w:noProof/>
          <w:szCs w:val="24"/>
        </w:rPr>
        <w:t>2</w:t>
      </w:r>
      <w:r>
        <w:rPr>
          <w:rFonts w:ascii="ArialMT" w:hAnsi="ArialMT" w:cs="ArialMT"/>
          <w:noProof/>
          <w:szCs w:val="24"/>
        </w:rPr>
        <w:t xml:space="preserve"> were:</w:t>
      </w:r>
    </w:p>
    <w:p w:rsidR="00B22B38" w:rsidRDefault="00B22B38" w:rsidP="00EB4217">
      <w:pPr>
        <w:autoSpaceDE w:val="0"/>
        <w:autoSpaceDN w:val="0"/>
        <w:adjustRightInd w:val="0"/>
        <w:rPr>
          <w:rFonts w:ascii="ArialMT" w:hAnsi="ArialMT" w:cs="ArialMT"/>
          <w:noProof/>
          <w:szCs w:val="24"/>
        </w:rPr>
      </w:pPr>
    </w:p>
    <w:p w:rsidR="00B22B38" w:rsidRPr="000B2827" w:rsidRDefault="00B22B38" w:rsidP="00EB4217">
      <w:pPr>
        <w:autoSpaceDE w:val="0"/>
        <w:autoSpaceDN w:val="0"/>
        <w:adjustRightInd w:val="0"/>
        <w:rPr>
          <w:rFonts w:ascii="ArialMT" w:hAnsi="ArialMT" w:cs="ArialMT"/>
          <w:noProof/>
          <w:szCs w:val="24"/>
        </w:rPr>
      </w:pPr>
    </w:p>
    <w:p w:rsidR="00456AFD" w:rsidRPr="00B07458" w:rsidRDefault="00456AFD" w:rsidP="00EB4217">
      <w:pPr>
        <w:autoSpaceDE w:val="0"/>
        <w:autoSpaceDN w:val="0"/>
        <w:adjustRightInd w:val="0"/>
        <w:rPr>
          <w:rFonts w:ascii="ArialMT" w:hAnsi="ArialMT" w:cs="ArialMT"/>
          <w:noProof/>
          <w:szCs w:val="24"/>
          <w:highlight w:val="yellow"/>
        </w:rPr>
      </w:pPr>
    </w:p>
    <w:tbl>
      <w:tblPr>
        <w:tblW w:w="0" w:type="auto"/>
        <w:tblLook w:val="04A0"/>
      </w:tblPr>
      <w:tblGrid>
        <w:gridCol w:w="534"/>
        <w:gridCol w:w="5244"/>
        <w:gridCol w:w="1985"/>
        <w:gridCol w:w="1843"/>
      </w:tblGrid>
      <w:tr w:rsidR="00456AFD" w:rsidRPr="00B07458" w:rsidTr="00060342">
        <w:tc>
          <w:tcPr>
            <w:tcW w:w="534" w:type="dxa"/>
          </w:tcPr>
          <w:p w:rsidR="00456AFD" w:rsidRPr="00B07458" w:rsidRDefault="00456AFD" w:rsidP="00456AFD">
            <w:pPr>
              <w:rPr>
                <w:b/>
                <w:snapToGrid w:val="0"/>
                <w:sz w:val="22"/>
                <w:szCs w:val="22"/>
                <w:highlight w:val="yellow"/>
                <w:lang w:eastAsia="en-US"/>
              </w:rPr>
            </w:pPr>
          </w:p>
        </w:tc>
        <w:tc>
          <w:tcPr>
            <w:tcW w:w="5244" w:type="dxa"/>
            <w:vAlign w:val="center"/>
          </w:tcPr>
          <w:p w:rsidR="00456AFD" w:rsidRPr="00C10AB8" w:rsidRDefault="00456AFD" w:rsidP="00456AFD">
            <w:pPr>
              <w:rPr>
                <w:b/>
                <w:sz w:val="28"/>
                <w:szCs w:val="28"/>
              </w:rPr>
            </w:pPr>
            <w:r w:rsidRPr="00C10AB8">
              <w:rPr>
                <w:b/>
                <w:snapToGrid w:val="0"/>
                <w:sz w:val="22"/>
                <w:szCs w:val="22"/>
                <w:lang w:eastAsia="en-US"/>
              </w:rPr>
              <w:t>Equity</w:t>
            </w:r>
          </w:p>
        </w:tc>
        <w:tc>
          <w:tcPr>
            <w:tcW w:w="1985" w:type="dxa"/>
            <w:vAlign w:val="center"/>
          </w:tcPr>
          <w:p w:rsidR="00456AFD" w:rsidRPr="00C10AB8" w:rsidRDefault="00456AFD" w:rsidP="00F570B3">
            <w:pPr>
              <w:jc w:val="center"/>
              <w:rPr>
                <w:b/>
                <w:snapToGrid w:val="0"/>
                <w:sz w:val="22"/>
                <w:szCs w:val="22"/>
                <w:lang w:eastAsia="en-US"/>
              </w:rPr>
            </w:pPr>
            <w:r w:rsidRPr="00C10AB8">
              <w:rPr>
                <w:b/>
                <w:snapToGrid w:val="0"/>
                <w:sz w:val="22"/>
                <w:szCs w:val="22"/>
                <w:lang w:eastAsia="en-US"/>
              </w:rPr>
              <w:t>Market value</w:t>
            </w:r>
          </w:p>
          <w:p w:rsidR="00456AFD" w:rsidRPr="00C10AB8" w:rsidRDefault="00456AFD" w:rsidP="00F570B3">
            <w:pPr>
              <w:jc w:val="center"/>
              <w:rPr>
                <w:b/>
                <w:snapToGrid w:val="0"/>
                <w:sz w:val="22"/>
                <w:szCs w:val="22"/>
                <w:lang w:eastAsia="en-US"/>
              </w:rPr>
            </w:pPr>
            <w:r w:rsidRPr="00C10AB8">
              <w:rPr>
                <w:b/>
                <w:snapToGrid w:val="0"/>
                <w:sz w:val="22"/>
                <w:szCs w:val="22"/>
                <w:lang w:eastAsia="en-US"/>
              </w:rPr>
              <w:t>31 March 2</w:t>
            </w:r>
            <w:r w:rsidR="00F570B3" w:rsidRPr="00C10AB8">
              <w:rPr>
                <w:b/>
                <w:snapToGrid w:val="0"/>
                <w:sz w:val="22"/>
                <w:szCs w:val="22"/>
                <w:lang w:eastAsia="en-US"/>
              </w:rPr>
              <w:t>0</w:t>
            </w:r>
            <w:r w:rsidRPr="00C10AB8">
              <w:rPr>
                <w:b/>
                <w:snapToGrid w:val="0"/>
                <w:sz w:val="22"/>
                <w:szCs w:val="22"/>
                <w:lang w:eastAsia="en-US"/>
              </w:rPr>
              <w:t>1</w:t>
            </w:r>
            <w:r w:rsidR="00BA02D9">
              <w:rPr>
                <w:b/>
                <w:snapToGrid w:val="0"/>
                <w:sz w:val="22"/>
                <w:szCs w:val="22"/>
                <w:lang w:eastAsia="en-US"/>
              </w:rPr>
              <w:t>2</w:t>
            </w:r>
          </w:p>
          <w:p w:rsidR="00456AFD" w:rsidRPr="00C10AB8" w:rsidRDefault="00456AFD" w:rsidP="0043789A">
            <w:pPr>
              <w:jc w:val="center"/>
              <w:rPr>
                <w:b/>
                <w:sz w:val="28"/>
                <w:szCs w:val="28"/>
              </w:rPr>
            </w:pPr>
            <w:r w:rsidRPr="00C10AB8">
              <w:rPr>
                <w:b/>
                <w:snapToGrid w:val="0"/>
                <w:sz w:val="22"/>
                <w:szCs w:val="22"/>
                <w:lang w:eastAsia="en-US"/>
              </w:rPr>
              <w:t>£</w:t>
            </w:r>
            <w:r w:rsidR="0043789A">
              <w:rPr>
                <w:b/>
                <w:snapToGrid w:val="0"/>
                <w:sz w:val="22"/>
                <w:szCs w:val="22"/>
                <w:lang w:eastAsia="en-US"/>
              </w:rPr>
              <w:t>m</w:t>
            </w:r>
          </w:p>
        </w:tc>
        <w:tc>
          <w:tcPr>
            <w:tcW w:w="1843" w:type="dxa"/>
            <w:vAlign w:val="center"/>
          </w:tcPr>
          <w:p w:rsidR="00456AFD" w:rsidRPr="00C10AB8" w:rsidRDefault="00456AFD" w:rsidP="00BA02D9">
            <w:pPr>
              <w:jc w:val="center"/>
              <w:rPr>
                <w:b/>
                <w:sz w:val="28"/>
                <w:szCs w:val="28"/>
              </w:rPr>
            </w:pPr>
            <w:r w:rsidRPr="00C10AB8">
              <w:rPr>
                <w:b/>
                <w:snapToGrid w:val="0"/>
                <w:sz w:val="22"/>
                <w:szCs w:val="22"/>
                <w:lang w:eastAsia="en-US"/>
              </w:rPr>
              <w:t>Percentage of net assets of the Fund %</w:t>
            </w:r>
          </w:p>
        </w:tc>
      </w:tr>
      <w:tr w:rsidR="00456AFD" w:rsidRPr="00B07458" w:rsidTr="00060342">
        <w:trPr>
          <w:trHeight w:val="454"/>
        </w:trPr>
        <w:tc>
          <w:tcPr>
            <w:tcW w:w="534" w:type="dxa"/>
          </w:tcPr>
          <w:p w:rsidR="00456AFD" w:rsidRPr="00B07458" w:rsidRDefault="00456AFD" w:rsidP="00456AFD">
            <w:pPr>
              <w:rPr>
                <w:snapToGrid w:val="0"/>
                <w:sz w:val="22"/>
                <w:szCs w:val="22"/>
                <w:highlight w:val="yellow"/>
                <w:lang w:eastAsia="en-US"/>
              </w:rPr>
            </w:pPr>
          </w:p>
        </w:tc>
        <w:tc>
          <w:tcPr>
            <w:tcW w:w="5244" w:type="dxa"/>
            <w:vAlign w:val="center"/>
          </w:tcPr>
          <w:p w:rsidR="00456AFD" w:rsidRPr="00B07458" w:rsidRDefault="00456AFD" w:rsidP="00456AFD">
            <w:pPr>
              <w:rPr>
                <w:snapToGrid w:val="0"/>
                <w:sz w:val="22"/>
                <w:szCs w:val="22"/>
                <w:highlight w:val="yellow"/>
                <w:lang w:eastAsia="en-US"/>
              </w:rPr>
            </w:pPr>
          </w:p>
        </w:tc>
        <w:tc>
          <w:tcPr>
            <w:tcW w:w="1985" w:type="dxa"/>
            <w:vAlign w:val="center"/>
          </w:tcPr>
          <w:p w:rsidR="00456AFD" w:rsidRPr="00B07458" w:rsidRDefault="00456AFD" w:rsidP="00456AFD">
            <w:pPr>
              <w:rPr>
                <w:snapToGrid w:val="0"/>
                <w:sz w:val="22"/>
                <w:szCs w:val="22"/>
                <w:highlight w:val="yellow"/>
                <w:lang w:eastAsia="en-US"/>
              </w:rPr>
            </w:pPr>
          </w:p>
        </w:tc>
        <w:tc>
          <w:tcPr>
            <w:tcW w:w="1843" w:type="dxa"/>
            <w:vAlign w:val="center"/>
          </w:tcPr>
          <w:p w:rsidR="00456AFD" w:rsidRPr="00B07458" w:rsidRDefault="00456AFD" w:rsidP="00456AFD">
            <w:pPr>
              <w:jc w:val="right"/>
              <w:rPr>
                <w:snapToGrid w:val="0"/>
                <w:sz w:val="22"/>
                <w:szCs w:val="22"/>
                <w:highlight w:val="yellow"/>
                <w:lang w:eastAsia="en-US"/>
              </w:rPr>
            </w:pPr>
          </w:p>
        </w:tc>
      </w:tr>
      <w:tr w:rsidR="00F570B3" w:rsidRPr="00B07458" w:rsidTr="00060342">
        <w:trPr>
          <w:trHeight w:val="454"/>
        </w:trPr>
        <w:tc>
          <w:tcPr>
            <w:tcW w:w="534" w:type="dxa"/>
          </w:tcPr>
          <w:p w:rsidR="00F570B3" w:rsidRPr="00B07458" w:rsidRDefault="00F570B3" w:rsidP="00456AFD">
            <w:pPr>
              <w:rPr>
                <w:snapToGrid w:val="0"/>
                <w:sz w:val="22"/>
                <w:szCs w:val="22"/>
                <w:highlight w:val="yellow"/>
                <w:lang w:eastAsia="en-US"/>
              </w:rPr>
            </w:pPr>
          </w:p>
        </w:tc>
        <w:tc>
          <w:tcPr>
            <w:tcW w:w="5244" w:type="dxa"/>
            <w:vAlign w:val="center"/>
          </w:tcPr>
          <w:p w:rsidR="00F570B3" w:rsidRPr="00D10CFA" w:rsidRDefault="00970428" w:rsidP="00970428">
            <w:pPr>
              <w:rPr>
                <w:b/>
                <w:sz w:val="28"/>
                <w:szCs w:val="28"/>
              </w:rPr>
            </w:pPr>
            <w:r w:rsidRPr="00D10CFA">
              <w:rPr>
                <w:rFonts w:cs="Arial"/>
              </w:rPr>
              <w:t xml:space="preserve">Royal Dutch Shell 'B' Shares </w:t>
            </w:r>
            <w:r w:rsidR="00F570B3" w:rsidRPr="00D10CFA">
              <w:rPr>
                <w:rFonts w:cs="Arial"/>
              </w:rPr>
              <w:t xml:space="preserve"> </w:t>
            </w:r>
          </w:p>
        </w:tc>
        <w:tc>
          <w:tcPr>
            <w:tcW w:w="1985" w:type="dxa"/>
            <w:vAlign w:val="center"/>
          </w:tcPr>
          <w:p w:rsidR="00F570B3" w:rsidRPr="00D10CFA" w:rsidRDefault="0043789A" w:rsidP="00BA02D9">
            <w:pPr>
              <w:jc w:val="center"/>
              <w:rPr>
                <w:snapToGrid w:val="0"/>
                <w:sz w:val="22"/>
                <w:szCs w:val="22"/>
                <w:lang w:eastAsia="en-US"/>
              </w:rPr>
            </w:pPr>
            <w:r>
              <w:rPr>
                <w:rFonts w:cs="Arial"/>
              </w:rPr>
              <w:t>53.4</w:t>
            </w:r>
          </w:p>
        </w:tc>
        <w:tc>
          <w:tcPr>
            <w:tcW w:w="1843" w:type="dxa"/>
            <w:vAlign w:val="center"/>
          </w:tcPr>
          <w:p w:rsidR="00F570B3" w:rsidRPr="00D10CFA" w:rsidRDefault="00F570B3" w:rsidP="00BA02D9">
            <w:pPr>
              <w:jc w:val="center"/>
              <w:rPr>
                <w:b/>
                <w:sz w:val="28"/>
                <w:szCs w:val="28"/>
              </w:rPr>
            </w:pPr>
            <w:r w:rsidRPr="00D10CFA">
              <w:rPr>
                <w:rFonts w:cs="Arial"/>
              </w:rPr>
              <w:t>1.</w:t>
            </w:r>
            <w:r w:rsidR="0043789A">
              <w:rPr>
                <w:rFonts w:cs="Arial"/>
              </w:rPr>
              <w:t>22</w:t>
            </w:r>
            <w:r w:rsidRPr="00D10CFA">
              <w:rPr>
                <w:rFonts w:cs="Arial"/>
              </w:rPr>
              <w:t>%</w:t>
            </w:r>
          </w:p>
        </w:tc>
      </w:tr>
      <w:tr w:rsidR="0043789A" w:rsidRPr="00B07458" w:rsidTr="00060342">
        <w:trPr>
          <w:trHeight w:val="454"/>
        </w:trPr>
        <w:tc>
          <w:tcPr>
            <w:tcW w:w="534" w:type="dxa"/>
          </w:tcPr>
          <w:p w:rsidR="0043789A" w:rsidRPr="00B07458" w:rsidRDefault="0043789A" w:rsidP="00456AFD">
            <w:pPr>
              <w:rPr>
                <w:snapToGrid w:val="0"/>
                <w:sz w:val="22"/>
                <w:szCs w:val="22"/>
                <w:highlight w:val="yellow"/>
                <w:lang w:eastAsia="en-US"/>
              </w:rPr>
            </w:pPr>
          </w:p>
        </w:tc>
        <w:tc>
          <w:tcPr>
            <w:tcW w:w="5244" w:type="dxa"/>
            <w:vAlign w:val="center"/>
          </w:tcPr>
          <w:p w:rsidR="0043789A" w:rsidRPr="00D10CFA" w:rsidRDefault="0043789A" w:rsidP="00970428">
            <w:pPr>
              <w:rPr>
                <w:rFonts w:cs="Arial"/>
              </w:rPr>
            </w:pPr>
            <w:r w:rsidRPr="00D10CFA">
              <w:rPr>
                <w:rFonts w:cs="Arial"/>
              </w:rPr>
              <w:t xml:space="preserve">GlaxoSmithKline Ord </w:t>
            </w:r>
            <w:r>
              <w:rPr>
                <w:rFonts w:cs="Arial"/>
              </w:rPr>
              <w:t>GBP0.25</w:t>
            </w:r>
          </w:p>
        </w:tc>
        <w:tc>
          <w:tcPr>
            <w:tcW w:w="1985" w:type="dxa"/>
            <w:vAlign w:val="center"/>
          </w:tcPr>
          <w:p w:rsidR="0043789A" w:rsidRPr="00D10CFA" w:rsidRDefault="0043789A" w:rsidP="00BA02D9">
            <w:pPr>
              <w:jc w:val="center"/>
              <w:rPr>
                <w:rFonts w:cs="Arial"/>
              </w:rPr>
            </w:pPr>
            <w:r>
              <w:rPr>
                <w:rFonts w:cs="Arial"/>
              </w:rPr>
              <w:t>49.6</w:t>
            </w:r>
          </w:p>
        </w:tc>
        <w:tc>
          <w:tcPr>
            <w:tcW w:w="1843" w:type="dxa"/>
            <w:vAlign w:val="center"/>
          </w:tcPr>
          <w:p w:rsidR="0043789A" w:rsidRPr="00D10CFA" w:rsidRDefault="0043789A" w:rsidP="00BA02D9">
            <w:pPr>
              <w:jc w:val="center"/>
              <w:rPr>
                <w:rFonts w:cs="Arial"/>
              </w:rPr>
            </w:pPr>
            <w:r>
              <w:rPr>
                <w:rFonts w:cs="Arial"/>
              </w:rPr>
              <w:t>1.14%</w:t>
            </w:r>
          </w:p>
        </w:tc>
      </w:tr>
      <w:tr w:rsidR="0043789A" w:rsidRPr="00B07458" w:rsidTr="00060342">
        <w:trPr>
          <w:trHeight w:val="454"/>
        </w:trPr>
        <w:tc>
          <w:tcPr>
            <w:tcW w:w="534" w:type="dxa"/>
          </w:tcPr>
          <w:p w:rsidR="0043789A" w:rsidRPr="00B07458" w:rsidRDefault="0043789A" w:rsidP="00456AFD">
            <w:pPr>
              <w:rPr>
                <w:snapToGrid w:val="0"/>
                <w:sz w:val="22"/>
                <w:szCs w:val="22"/>
                <w:highlight w:val="yellow"/>
                <w:lang w:eastAsia="en-US"/>
              </w:rPr>
            </w:pPr>
          </w:p>
        </w:tc>
        <w:tc>
          <w:tcPr>
            <w:tcW w:w="5244" w:type="dxa"/>
            <w:vAlign w:val="center"/>
          </w:tcPr>
          <w:p w:rsidR="0043789A" w:rsidRPr="00D10CFA" w:rsidRDefault="0043789A" w:rsidP="0043789A">
            <w:pPr>
              <w:rPr>
                <w:snapToGrid w:val="0"/>
                <w:sz w:val="22"/>
                <w:szCs w:val="22"/>
                <w:lang w:eastAsia="en-US"/>
              </w:rPr>
            </w:pPr>
            <w:r>
              <w:rPr>
                <w:snapToGrid w:val="0"/>
                <w:sz w:val="22"/>
                <w:szCs w:val="22"/>
                <w:lang w:eastAsia="en-US"/>
              </w:rPr>
              <w:t>BP PLC Ord USD.25</w:t>
            </w:r>
          </w:p>
        </w:tc>
        <w:tc>
          <w:tcPr>
            <w:tcW w:w="1985" w:type="dxa"/>
            <w:vAlign w:val="center"/>
          </w:tcPr>
          <w:p w:rsidR="0043789A" w:rsidRPr="00D10CFA" w:rsidRDefault="0043789A" w:rsidP="00BA02D9">
            <w:pPr>
              <w:jc w:val="center"/>
              <w:rPr>
                <w:rFonts w:cs="Arial"/>
              </w:rPr>
            </w:pPr>
            <w:r>
              <w:rPr>
                <w:rFonts w:cs="Arial"/>
              </w:rPr>
              <w:t>46.5</w:t>
            </w:r>
          </w:p>
        </w:tc>
        <w:tc>
          <w:tcPr>
            <w:tcW w:w="1843" w:type="dxa"/>
            <w:vAlign w:val="center"/>
          </w:tcPr>
          <w:p w:rsidR="0043789A" w:rsidRPr="00D10CFA" w:rsidRDefault="0043789A" w:rsidP="00BA02D9">
            <w:pPr>
              <w:jc w:val="center"/>
              <w:rPr>
                <w:rFonts w:cs="Arial"/>
              </w:rPr>
            </w:pPr>
            <w:r>
              <w:rPr>
                <w:rFonts w:cs="Arial"/>
              </w:rPr>
              <w:t>1.07%</w:t>
            </w:r>
          </w:p>
        </w:tc>
      </w:tr>
      <w:tr w:rsidR="00F570B3" w:rsidRPr="00D10CFA" w:rsidTr="00060342">
        <w:trPr>
          <w:trHeight w:val="454"/>
        </w:trPr>
        <w:tc>
          <w:tcPr>
            <w:tcW w:w="534" w:type="dxa"/>
          </w:tcPr>
          <w:p w:rsidR="00F570B3" w:rsidRPr="00B07458" w:rsidRDefault="00F570B3" w:rsidP="00456AFD">
            <w:pPr>
              <w:rPr>
                <w:snapToGrid w:val="0"/>
                <w:sz w:val="22"/>
                <w:szCs w:val="22"/>
                <w:highlight w:val="yellow"/>
                <w:lang w:eastAsia="en-US"/>
              </w:rPr>
            </w:pPr>
          </w:p>
        </w:tc>
        <w:tc>
          <w:tcPr>
            <w:tcW w:w="5244" w:type="dxa"/>
            <w:vAlign w:val="center"/>
          </w:tcPr>
          <w:p w:rsidR="00F570B3" w:rsidRPr="00D10CFA" w:rsidRDefault="00D10CFA" w:rsidP="00D10CFA">
            <w:pPr>
              <w:rPr>
                <w:b/>
                <w:sz w:val="28"/>
                <w:szCs w:val="28"/>
              </w:rPr>
            </w:pPr>
            <w:r w:rsidRPr="00D10CFA">
              <w:rPr>
                <w:rFonts w:cs="Arial"/>
              </w:rPr>
              <w:t>Vodafone Group Ord USD0.11428571</w:t>
            </w:r>
          </w:p>
        </w:tc>
        <w:tc>
          <w:tcPr>
            <w:tcW w:w="1985" w:type="dxa"/>
            <w:vAlign w:val="center"/>
          </w:tcPr>
          <w:p w:rsidR="00F570B3" w:rsidRPr="00D10CFA" w:rsidRDefault="0043789A" w:rsidP="00BA02D9">
            <w:pPr>
              <w:jc w:val="center"/>
              <w:rPr>
                <w:rFonts w:cs="Arial"/>
              </w:rPr>
            </w:pPr>
            <w:r>
              <w:rPr>
                <w:rFonts w:cs="Arial"/>
              </w:rPr>
              <w:t>4</w:t>
            </w:r>
            <w:r w:rsidR="00BA02D9">
              <w:rPr>
                <w:rFonts w:cs="Arial"/>
              </w:rPr>
              <w:t>6</w:t>
            </w:r>
            <w:r>
              <w:rPr>
                <w:rFonts w:cs="Arial"/>
              </w:rPr>
              <w:t>.</w:t>
            </w:r>
            <w:r w:rsidR="00BA02D9">
              <w:rPr>
                <w:rFonts w:cs="Arial"/>
              </w:rPr>
              <w:t>0</w:t>
            </w:r>
          </w:p>
        </w:tc>
        <w:tc>
          <w:tcPr>
            <w:tcW w:w="1843" w:type="dxa"/>
            <w:vAlign w:val="center"/>
          </w:tcPr>
          <w:p w:rsidR="00F570B3" w:rsidRPr="00D10CFA" w:rsidRDefault="00D10CFA" w:rsidP="00BA02D9">
            <w:pPr>
              <w:jc w:val="center"/>
              <w:rPr>
                <w:rFonts w:cs="Arial"/>
              </w:rPr>
            </w:pPr>
            <w:r>
              <w:rPr>
                <w:rFonts w:cs="Arial"/>
              </w:rPr>
              <w:t>1.</w:t>
            </w:r>
            <w:r w:rsidR="0043789A">
              <w:rPr>
                <w:rFonts w:cs="Arial"/>
              </w:rPr>
              <w:t>05</w:t>
            </w:r>
            <w:r>
              <w:rPr>
                <w:rFonts w:cs="Arial"/>
              </w:rPr>
              <w:t>%</w:t>
            </w:r>
          </w:p>
        </w:tc>
      </w:tr>
      <w:tr w:rsidR="00F570B3" w:rsidRPr="00D10CFA" w:rsidTr="00060342">
        <w:trPr>
          <w:trHeight w:val="454"/>
        </w:trPr>
        <w:tc>
          <w:tcPr>
            <w:tcW w:w="534" w:type="dxa"/>
          </w:tcPr>
          <w:p w:rsidR="00F570B3" w:rsidRPr="00B07458" w:rsidRDefault="00F570B3" w:rsidP="00456AFD">
            <w:pPr>
              <w:rPr>
                <w:snapToGrid w:val="0"/>
                <w:sz w:val="22"/>
                <w:szCs w:val="22"/>
                <w:highlight w:val="yellow"/>
                <w:lang w:eastAsia="en-US"/>
              </w:rPr>
            </w:pPr>
          </w:p>
        </w:tc>
        <w:tc>
          <w:tcPr>
            <w:tcW w:w="5244" w:type="dxa"/>
            <w:vAlign w:val="center"/>
          </w:tcPr>
          <w:p w:rsidR="00F570B3" w:rsidRPr="00D10CFA" w:rsidRDefault="0043789A" w:rsidP="00F570B3">
            <w:pPr>
              <w:rPr>
                <w:snapToGrid w:val="0"/>
                <w:sz w:val="22"/>
                <w:szCs w:val="22"/>
                <w:lang w:eastAsia="en-US"/>
              </w:rPr>
            </w:pPr>
            <w:r>
              <w:rPr>
                <w:snapToGrid w:val="0"/>
                <w:sz w:val="22"/>
                <w:szCs w:val="22"/>
                <w:lang w:eastAsia="en-US"/>
              </w:rPr>
              <w:t>HSBC Holdings Ord USD</w:t>
            </w:r>
            <w:r w:rsidRPr="0043789A">
              <w:rPr>
                <w:snapToGrid w:val="0"/>
                <w:sz w:val="22"/>
                <w:szCs w:val="22"/>
                <w:lang w:eastAsia="en-US"/>
              </w:rPr>
              <w:t>0.50</w:t>
            </w:r>
            <w:r>
              <w:rPr>
                <w:snapToGrid w:val="0"/>
                <w:sz w:val="22"/>
                <w:szCs w:val="22"/>
                <w:lang w:eastAsia="en-US"/>
              </w:rPr>
              <w:t xml:space="preserve"> </w:t>
            </w:r>
          </w:p>
        </w:tc>
        <w:tc>
          <w:tcPr>
            <w:tcW w:w="1985" w:type="dxa"/>
            <w:vAlign w:val="center"/>
          </w:tcPr>
          <w:p w:rsidR="00F570B3" w:rsidRPr="00D10CFA" w:rsidRDefault="0043789A" w:rsidP="00BA02D9">
            <w:pPr>
              <w:jc w:val="center"/>
              <w:rPr>
                <w:rFonts w:cs="Arial"/>
              </w:rPr>
            </w:pPr>
            <w:r>
              <w:rPr>
                <w:rFonts w:cs="Arial"/>
              </w:rPr>
              <w:t>4</w:t>
            </w:r>
            <w:r w:rsidR="00BA02D9">
              <w:rPr>
                <w:rFonts w:cs="Arial"/>
              </w:rPr>
              <w:t>6</w:t>
            </w:r>
            <w:r>
              <w:rPr>
                <w:rFonts w:cs="Arial"/>
              </w:rPr>
              <w:t>.</w:t>
            </w:r>
            <w:r w:rsidR="00BA02D9">
              <w:rPr>
                <w:rFonts w:cs="Arial"/>
              </w:rPr>
              <w:t>0</w:t>
            </w:r>
          </w:p>
        </w:tc>
        <w:tc>
          <w:tcPr>
            <w:tcW w:w="1843" w:type="dxa"/>
            <w:vAlign w:val="center"/>
          </w:tcPr>
          <w:p w:rsidR="00F570B3" w:rsidRPr="00D10CFA" w:rsidRDefault="0043789A" w:rsidP="00BA02D9">
            <w:pPr>
              <w:jc w:val="center"/>
              <w:rPr>
                <w:rFonts w:cs="Arial"/>
              </w:rPr>
            </w:pPr>
            <w:r>
              <w:rPr>
                <w:rFonts w:cs="Arial"/>
              </w:rPr>
              <w:t>1.05</w:t>
            </w:r>
            <w:r w:rsidR="00D10CFA">
              <w:rPr>
                <w:rFonts w:cs="Arial"/>
              </w:rPr>
              <w:t>%</w:t>
            </w:r>
          </w:p>
        </w:tc>
      </w:tr>
      <w:tr w:rsidR="00F570B3" w:rsidRPr="00D10CFA" w:rsidTr="00060342">
        <w:trPr>
          <w:trHeight w:val="454"/>
        </w:trPr>
        <w:tc>
          <w:tcPr>
            <w:tcW w:w="534" w:type="dxa"/>
          </w:tcPr>
          <w:p w:rsidR="00F570B3" w:rsidRPr="00B07458" w:rsidRDefault="00F570B3" w:rsidP="00456AFD">
            <w:pPr>
              <w:rPr>
                <w:snapToGrid w:val="0"/>
                <w:sz w:val="22"/>
                <w:szCs w:val="22"/>
                <w:highlight w:val="yellow"/>
                <w:lang w:eastAsia="en-US"/>
              </w:rPr>
            </w:pPr>
          </w:p>
        </w:tc>
        <w:tc>
          <w:tcPr>
            <w:tcW w:w="5244" w:type="dxa"/>
            <w:vAlign w:val="center"/>
          </w:tcPr>
          <w:p w:rsidR="00F570B3" w:rsidRPr="00D10CFA" w:rsidRDefault="0043789A" w:rsidP="00F570B3">
            <w:pPr>
              <w:rPr>
                <w:snapToGrid w:val="0"/>
                <w:sz w:val="22"/>
                <w:szCs w:val="22"/>
                <w:lang w:eastAsia="en-US"/>
              </w:rPr>
            </w:pPr>
            <w:r w:rsidRPr="00C10AB8">
              <w:rPr>
                <w:rFonts w:cs="Arial"/>
              </w:rPr>
              <w:t>British American Tobacco Ord GBP0.25</w:t>
            </w:r>
          </w:p>
        </w:tc>
        <w:tc>
          <w:tcPr>
            <w:tcW w:w="1985" w:type="dxa"/>
            <w:vAlign w:val="center"/>
          </w:tcPr>
          <w:p w:rsidR="00F570B3" w:rsidRPr="00D10CFA" w:rsidRDefault="0043789A" w:rsidP="00BA02D9">
            <w:pPr>
              <w:jc w:val="center"/>
              <w:rPr>
                <w:rFonts w:cs="Arial"/>
              </w:rPr>
            </w:pPr>
            <w:r>
              <w:rPr>
                <w:rFonts w:cs="Arial"/>
              </w:rPr>
              <w:t>43.0</w:t>
            </w:r>
          </w:p>
        </w:tc>
        <w:tc>
          <w:tcPr>
            <w:tcW w:w="1843" w:type="dxa"/>
            <w:vAlign w:val="center"/>
          </w:tcPr>
          <w:p w:rsidR="00F570B3" w:rsidRPr="00D10CFA" w:rsidRDefault="00D10CFA" w:rsidP="00BA02D9">
            <w:pPr>
              <w:jc w:val="center"/>
              <w:rPr>
                <w:rFonts w:cs="Arial"/>
              </w:rPr>
            </w:pPr>
            <w:r>
              <w:rPr>
                <w:rFonts w:cs="Arial"/>
              </w:rPr>
              <w:t>0.9</w:t>
            </w:r>
            <w:r w:rsidR="0043789A">
              <w:rPr>
                <w:rFonts w:cs="Arial"/>
              </w:rPr>
              <w:t>9</w:t>
            </w:r>
            <w:r>
              <w:rPr>
                <w:rFonts w:cs="Arial"/>
              </w:rPr>
              <w:t>%</w:t>
            </w:r>
          </w:p>
        </w:tc>
      </w:tr>
      <w:tr w:rsidR="0043789A" w:rsidRPr="00D10CFA" w:rsidTr="00060342">
        <w:trPr>
          <w:trHeight w:val="454"/>
        </w:trPr>
        <w:tc>
          <w:tcPr>
            <w:tcW w:w="534" w:type="dxa"/>
          </w:tcPr>
          <w:p w:rsidR="0043789A" w:rsidRPr="00B07458" w:rsidRDefault="0043789A" w:rsidP="00456AFD">
            <w:pPr>
              <w:rPr>
                <w:snapToGrid w:val="0"/>
                <w:sz w:val="22"/>
                <w:szCs w:val="22"/>
                <w:highlight w:val="yellow"/>
                <w:lang w:eastAsia="en-US"/>
              </w:rPr>
            </w:pPr>
          </w:p>
        </w:tc>
        <w:tc>
          <w:tcPr>
            <w:tcW w:w="5244" w:type="dxa"/>
            <w:vAlign w:val="center"/>
          </w:tcPr>
          <w:p w:rsidR="0043789A" w:rsidRPr="00C10AB8" w:rsidRDefault="0043789A" w:rsidP="00C10AB8">
            <w:pPr>
              <w:rPr>
                <w:rFonts w:cs="Arial"/>
              </w:rPr>
            </w:pPr>
            <w:r>
              <w:rPr>
                <w:rFonts w:cs="Arial"/>
              </w:rPr>
              <w:t>RIO Tinto Ord GBP0.10</w:t>
            </w:r>
          </w:p>
        </w:tc>
        <w:tc>
          <w:tcPr>
            <w:tcW w:w="1985" w:type="dxa"/>
            <w:vAlign w:val="center"/>
          </w:tcPr>
          <w:p w:rsidR="0043789A" w:rsidRDefault="0043789A" w:rsidP="00BA02D9">
            <w:pPr>
              <w:jc w:val="center"/>
              <w:rPr>
                <w:rFonts w:cs="Arial"/>
              </w:rPr>
            </w:pPr>
            <w:r>
              <w:rPr>
                <w:rFonts w:cs="Arial"/>
              </w:rPr>
              <w:t>29.5</w:t>
            </w:r>
          </w:p>
        </w:tc>
        <w:tc>
          <w:tcPr>
            <w:tcW w:w="1843" w:type="dxa"/>
            <w:vAlign w:val="center"/>
          </w:tcPr>
          <w:p w:rsidR="0043789A" w:rsidRDefault="0043789A" w:rsidP="00BA02D9">
            <w:pPr>
              <w:jc w:val="center"/>
              <w:rPr>
                <w:rFonts w:cs="Arial"/>
              </w:rPr>
            </w:pPr>
            <w:r>
              <w:rPr>
                <w:rFonts w:cs="Arial"/>
              </w:rPr>
              <w:t>0.68%</w:t>
            </w:r>
          </w:p>
        </w:tc>
      </w:tr>
      <w:tr w:rsidR="0043789A" w:rsidRPr="00D10CFA" w:rsidTr="00060342">
        <w:trPr>
          <w:trHeight w:val="454"/>
        </w:trPr>
        <w:tc>
          <w:tcPr>
            <w:tcW w:w="534" w:type="dxa"/>
          </w:tcPr>
          <w:p w:rsidR="0043789A" w:rsidRPr="00B07458" w:rsidRDefault="0043789A" w:rsidP="00456AFD">
            <w:pPr>
              <w:rPr>
                <w:snapToGrid w:val="0"/>
                <w:sz w:val="22"/>
                <w:szCs w:val="22"/>
                <w:highlight w:val="yellow"/>
                <w:lang w:eastAsia="en-US"/>
              </w:rPr>
            </w:pPr>
          </w:p>
        </w:tc>
        <w:tc>
          <w:tcPr>
            <w:tcW w:w="5244" w:type="dxa"/>
            <w:vAlign w:val="center"/>
          </w:tcPr>
          <w:p w:rsidR="0043789A" w:rsidRPr="00C10AB8" w:rsidRDefault="0043789A" w:rsidP="00BA02D9">
            <w:pPr>
              <w:rPr>
                <w:rFonts w:cs="Arial"/>
              </w:rPr>
            </w:pPr>
            <w:r>
              <w:rPr>
                <w:rFonts w:cs="Arial"/>
              </w:rPr>
              <w:t>AstraZeneca OrdUSD0.25</w:t>
            </w:r>
          </w:p>
        </w:tc>
        <w:tc>
          <w:tcPr>
            <w:tcW w:w="1985" w:type="dxa"/>
            <w:vAlign w:val="center"/>
          </w:tcPr>
          <w:p w:rsidR="0043789A" w:rsidRDefault="00BA02D9" w:rsidP="00BA02D9">
            <w:pPr>
              <w:jc w:val="center"/>
              <w:rPr>
                <w:rFonts w:cs="Arial"/>
              </w:rPr>
            </w:pPr>
            <w:r>
              <w:rPr>
                <w:rFonts w:cs="Arial"/>
              </w:rPr>
              <w:t>24.8</w:t>
            </w:r>
          </w:p>
        </w:tc>
        <w:tc>
          <w:tcPr>
            <w:tcW w:w="1843" w:type="dxa"/>
            <w:vAlign w:val="center"/>
          </w:tcPr>
          <w:p w:rsidR="0043789A" w:rsidRDefault="00BA02D9" w:rsidP="00BA02D9">
            <w:pPr>
              <w:jc w:val="center"/>
              <w:rPr>
                <w:rFonts w:cs="Arial"/>
              </w:rPr>
            </w:pPr>
            <w:r>
              <w:rPr>
                <w:rFonts w:cs="Arial"/>
              </w:rPr>
              <w:t>0.57%</w:t>
            </w:r>
          </w:p>
        </w:tc>
      </w:tr>
      <w:tr w:rsidR="00F570B3" w:rsidRPr="00D10CFA" w:rsidTr="00060342">
        <w:trPr>
          <w:trHeight w:val="454"/>
        </w:trPr>
        <w:tc>
          <w:tcPr>
            <w:tcW w:w="534" w:type="dxa"/>
          </w:tcPr>
          <w:p w:rsidR="00F570B3" w:rsidRPr="00B07458" w:rsidRDefault="00F570B3" w:rsidP="00456AFD">
            <w:pPr>
              <w:rPr>
                <w:snapToGrid w:val="0"/>
                <w:sz w:val="22"/>
                <w:szCs w:val="22"/>
                <w:highlight w:val="yellow"/>
                <w:lang w:eastAsia="en-US"/>
              </w:rPr>
            </w:pPr>
          </w:p>
        </w:tc>
        <w:tc>
          <w:tcPr>
            <w:tcW w:w="5244" w:type="dxa"/>
            <w:vAlign w:val="center"/>
          </w:tcPr>
          <w:p w:rsidR="00F570B3" w:rsidRPr="00D10CFA" w:rsidRDefault="00D10CFA" w:rsidP="00C10AB8">
            <w:pPr>
              <w:rPr>
                <w:b/>
                <w:sz w:val="28"/>
                <w:szCs w:val="28"/>
              </w:rPr>
            </w:pPr>
            <w:r w:rsidRPr="00C10AB8">
              <w:rPr>
                <w:rFonts w:cs="Arial"/>
              </w:rPr>
              <w:t>BHP Bill</w:t>
            </w:r>
            <w:r w:rsidR="00C10AB8" w:rsidRPr="00C10AB8">
              <w:rPr>
                <w:rFonts w:cs="Arial"/>
              </w:rPr>
              <w:t>iton PLC</w:t>
            </w:r>
            <w:r w:rsidRPr="00C10AB8">
              <w:rPr>
                <w:rFonts w:cs="Arial"/>
              </w:rPr>
              <w:t>USD0.50</w:t>
            </w:r>
          </w:p>
        </w:tc>
        <w:tc>
          <w:tcPr>
            <w:tcW w:w="1985" w:type="dxa"/>
            <w:vAlign w:val="center"/>
          </w:tcPr>
          <w:p w:rsidR="00F570B3" w:rsidRPr="00D10CFA" w:rsidRDefault="00BA02D9" w:rsidP="00BA02D9">
            <w:pPr>
              <w:jc w:val="center"/>
              <w:rPr>
                <w:rFonts w:cs="Arial"/>
              </w:rPr>
            </w:pPr>
            <w:r>
              <w:rPr>
                <w:rFonts w:cs="Arial"/>
              </w:rPr>
              <w:t>23.4</w:t>
            </w:r>
          </w:p>
        </w:tc>
        <w:tc>
          <w:tcPr>
            <w:tcW w:w="1843" w:type="dxa"/>
            <w:vAlign w:val="center"/>
          </w:tcPr>
          <w:p w:rsidR="00F570B3" w:rsidRPr="00D10CFA" w:rsidRDefault="00C10AB8" w:rsidP="00BA02D9">
            <w:pPr>
              <w:jc w:val="center"/>
              <w:rPr>
                <w:rFonts w:cs="Arial"/>
              </w:rPr>
            </w:pPr>
            <w:r>
              <w:rPr>
                <w:rFonts w:cs="Arial"/>
              </w:rPr>
              <w:t>0.</w:t>
            </w:r>
            <w:r w:rsidR="00BA02D9">
              <w:rPr>
                <w:rFonts w:cs="Arial"/>
              </w:rPr>
              <w:t>54</w:t>
            </w:r>
            <w:r>
              <w:rPr>
                <w:rFonts w:cs="Arial"/>
              </w:rPr>
              <w:t>%</w:t>
            </w:r>
          </w:p>
        </w:tc>
      </w:tr>
      <w:tr w:rsidR="00F570B3" w:rsidRPr="00D10CFA" w:rsidTr="00060342">
        <w:trPr>
          <w:trHeight w:val="454"/>
        </w:trPr>
        <w:tc>
          <w:tcPr>
            <w:tcW w:w="534" w:type="dxa"/>
          </w:tcPr>
          <w:p w:rsidR="00F570B3" w:rsidRPr="00B07458" w:rsidRDefault="00F570B3" w:rsidP="00456AFD">
            <w:pPr>
              <w:rPr>
                <w:snapToGrid w:val="0"/>
                <w:sz w:val="22"/>
                <w:szCs w:val="22"/>
                <w:highlight w:val="yellow"/>
                <w:lang w:eastAsia="en-US"/>
              </w:rPr>
            </w:pPr>
          </w:p>
        </w:tc>
        <w:tc>
          <w:tcPr>
            <w:tcW w:w="5244" w:type="dxa"/>
            <w:vAlign w:val="center"/>
          </w:tcPr>
          <w:p w:rsidR="00F570B3" w:rsidRPr="00C10AB8" w:rsidRDefault="00C10AB8" w:rsidP="00F570B3">
            <w:pPr>
              <w:rPr>
                <w:rFonts w:cs="Arial"/>
              </w:rPr>
            </w:pPr>
            <w:r w:rsidRPr="00C10AB8">
              <w:rPr>
                <w:rFonts w:cs="Arial"/>
              </w:rPr>
              <w:t>BG Group PLC Ord GBP0.10</w:t>
            </w:r>
          </w:p>
        </w:tc>
        <w:tc>
          <w:tcPr>
            <w:tcW w:w="1985" w:type="dxa"/>
            <w:tcBorders>
              <w:bottom w:val="single" w:sz="4" w:space="0" w:color="auto"/>
            </w:tcBorders>
            <w:vAlign w:val="center"/>
          </w:tcPr>
          <w:p w:rsidR="00F570B3" w:rsidRPr="00D10CFA" w:rsidRDefault="00BA02D9" w:rsidP="00BA02D9">
            <w:pPr>
              <w:jc w:val="center"/>
              <w:rPr>
                <w:rFonts w:cs="Arial"/>
              </w:rPr>
            </w:pPr>
            <w:r>
              <w:rPr>
                <w:rFonts w:cs="Arial"/>
              </w:rPr>
              <w:t>23.3</w:t>
            </w:r>
          </w:p>
        </w:tc>
        <w:tc>
          <w:tcPr>
            <w:tcW w:w="1843" w:type="dxa"/>
            <w:tcBorders>
              <w:bottom w:val="single" w:sz="4" w:space="0" w:color="auto"/>
            </w:tcBorders>
            <w:vAlign w:val="center"/>
          </w:tcPr>
          <w:p w:rsidR="00F570B3" w:rsidRPr="00D10CFA" w:rsidRDefault="00C10AB8" w:rsidP="00BA02D9">
            <w:pPr>
              <w:jc w:val="center"/>
              <w:rPr>
                <w:rFonts w:cs="Arial"/>
              </w:rPr>
            </w:pPr>
            <w:r>
              <w:rPr>
                <w:rFonts w:cs="Arial"/>
              </w:rPr>
              <w:t>0.</w:t>
            </w:r>
            <w:r w:rsidR="00BA02D9">
              <w:rPr>
                <w:rFonts w:cs="Arial"/>
              </w:rPr>
              <w:t>53</w:t>
            </w:r>
            <w:r>
              <w:rPr>
                <w:rFonts w:cs="Arial"/>
              </w:rPr>
              <w:t>%</w:t>
            </w:r>
          </w:p>
        </w:tc>
      </w:tr>
      <w:tr w:rsidR="00F570B3" w:rsidRPr="00D10CFA" w:rsidTr="00060342">
        <w:trPr>
          <w:trHeight w:val="454"/>
        </w:trPr>
        <w:tc>
          <w:tcPr>
            <w:tcW w:w="534" w:type="dxa"/>
          </w:tcPr>
          <w:p w:rsidR="00F570B3" w:rsidRPr="00B07458" w:rsidRDefault="00F570B3" w:rsidP="00456AFD">
            <w:pPr>
              <w:rPr>
                <w:sz w:val="22"/>
                <w:szCs w:val="22"/>
                <w:highlight w:val="yellow"/>
              </w:rPr>
            </w:pPr>
          </w:p>
        </w:tc>
        <w:tc>
          <w:tcPr>
            <w:tcW w:w="5244" w:type="dxa"/>
            <w:vAlign w:val="center"/>
          </w:tcPr>
          <w:p w:rsidR="00F570B3" w:rsidRPr="00D10CFA" w:rsidRDefault="00F570B3" w:rsidP="00F570B3">
            <w:pPr>
              <w:rPr>
                <w:b/>
                <w:sz w:val="28"/>
                <w:szCs w:val="28"/>
              </w:rPr>
            </w:pPr>
            <w:r w:rsidRPr="00D10CFA">
              <w:rPr>
                <w:sz w:val="22"/>
                <w:szCs w:val="22"/>
              </w:rPr>
              <w:t>Total</w:t>
            </w:r>
          </w:p>
        </w:tc>
        <w:tc>
          <w:tcPr>
            <w:tcW w:w="1985" w:type="dxa"/>
            <w:tcBorders>
              <w:top w:val="single" w:sz="4" w:space="0" w:color="auto"/>
              <w:bottom w:val="single" w:sz="4" w:space="0" w:color="auto"/>
            </w:tcBorders>
            <w:vAlign w:val="center"/>
          </w:tcPr>
          <w:p w:rsidR="00F570B3" w:rsidRPr="00D10CFA" w:rsidRDefault="00BA02D9" w:rsidP="008538AB">
            <w:pPr>
              <w:jc w:val="center"/>
              <w:rPr>
                <w:rFonts w:cs="Arial"/>
              </w:rPr>
            </w:pPr>
            <w:r>
              <w:rPr>
                <w:rFonts w:cs="Arial"/>
              </w:rPr>
              <w:t>385.5</w:t>
            </w:r>
          </w:p>
        </w:tc>
        <w:tc>
          <w:tcPr>
            <w:tcW w:w="1843" w:type="dxa"/>
            <w:tcBorders>
              <w:top w:val="single" w:sz="4" w:space="0" w:color="auto"/>
              <w:bottom w:val="single" w:sz="4" w:space="0" w:color="auto"/>
            </w:tcBorders>
            <w:vAlign w:val="center"/>
          </w:tcPr>
          <w:p w:rsidR="00F570B3" w:rsidRPr="00D10CFA" w:rsidRDefault="00BA02D9" w:rsidP="00BA02D9">
            <w:pPr>
              <w:jc w:val="center"/>
              <w:rPr>
                <w:rFonts w:cs="Arial"/>
              </w:rPr>
            </w:pPr>
            <w:r>
              <w:rPr>
                <w:rFonts w:cs="Arial"/>
              </w:rPr>
              <w:t>8.84</w:t>
            </w:r>
            <w:r w:rsidR="00C10AB8">
              <w:rPr>
                <w:rFonts w:cs="Arial"/>
              </w:rPr>
              <w:t>%</w:t>
            </w:r>
          </w:p>
        </w:tc>
      </w:tr>
    </w:tbl>
    <w:p w:rsidR="00EE6902" w:rsidRDefault="00E263F3" w:rsidP="00F570B3">
      <w:pPr>
        <w:autoSpaceDE w:val="0"/>
        <w:autoSpaceDN w:val="0"/>
        <w:adjustRightInd w:val="0"/>
        <w:rPr>
          <w:rFonts w:ascii="ArialMT" w:hAnsi="ArialMT" w:cs="ArialMT"/>
          <w:noProof/>
          <w:szCs w:val="24"/>
        </w:rPr>
      </w:pPr>
      <w:r w:rsidRPr="00B07458">
        <w:rPr>
          <w:rFonts w:ascii="ArialMT" w:hAnsi="ArialMT" w:cs="ArialMT"/>
          <w:noProof/>
          <w:szCs w:val="24"/>
          <w:highlight w:val="yellow"/>
        </w:rPr>
        <w:br w:type="page"/>
      </w:r>
    </w:p>
    <w:p w:rsidR="00F570B3" w:rsidRPr="00C10AB8" w:rsidRDefault="000D5991" w:rsidP="00F570B3">
      <w:pPr>
        <w:autoSpaceDE w:val="0"/>
        <w:autoSpaceDN w:val="0"/>
        <w:adjustRightInd w:val="0"/>
        <w:rPr>
          <w:rFonts w:ascii="ArialMT" w:hAnsi="ArialMT" w:cs="ArialMT"/>
          <w:noProof/>
          <w:szCs w:val="24"/>
        </w:rPr>
      </w:pPr>
      <w:r>
        <w:rPr>
          <w:rFonts w:ascii="ArialMT" w:hAnsi="ArialMT" w:cs="ArialMT"/>
          <w:noProof/>
          <w:szCs w:val="24"/>
        </w:rPr>
        <w:t>The l</w:t>
      </w:r>
      <w:r w:rsidR="00F570B3" w:rsidRPr="00C10AB8">
        <w:rPr>
          <w:rFonts w:ascii="ArialMT" w:hAnsi="ArialMT" w:cs="ArialMT"/>
          <w:noProof/>
          <w:szCs w:val="24"/>
        </w:rPr>
        <w:t xml:space="preserve">argest ten </w:t>
      </w:r>
      <w:r>
        <w:rPr>
          <w:rFonts w:ascii="ArialMT" w:hAnsi="ArialMT" w:cs="ArialMT"/>
          <w:noProof/>
          <w:szCs w:val="24"/>
        </w:rPr>
        <w:t xml:space="preserve">direct </w:t>
      </w:r>
      <w:r w:rsidR="00F570B3" w:rsidRPr="00C10AB8">
        <w:rPr>
          <w:rFonts w:ascii="ArialMT" w:hAnsi="ArialMT" w:cs="ArialMT"/>
          <w:noProof/>
          <w:szCs w:val="24"/>
        </w:rPr>
        <w:t>property holdings of the Fund at 31 March 201</w:t>
      </w:r>
      <w:r w:rsidR="008538AB">
        <w:rPr>
          <w:rFonts w:ascii="ArialMT" w:hAnsi="ArialMT" w:cs="ArialMT"/>
          <w:noProof/>
          <w:szCs w:val="24"/>
        </w:rPr>
        <w:t>2</w:t>
      </w:r>
      <w:r>
        <w:rPr>
          <w:rFonts w:ascii="ArialMT" w:hAnsi="ArialMT" w:cs="ArialMT"/>
          <w:noProof/>
          <w:szCs w:val="24"/>
        </w:rPr>
        <w:t xml:space="preserve"> were:</w:t>
      </w:r>
    </w:p>
    <w:p w:rsidR="00F570B3" w:rsidRPr="00B07458" w:rsidRDefault="00F570B3" w:rsidP="00EB4217">
      <w:pPr>
        <w:autoSpaceDE w:val="0"/>
        <w:autoSpaceDN w:val="0"/>
        <w:adjustRightInd w:val="0"/>
        <w:rPr>
          <w:rFonts w:ascii="ArialMT" w:hAnsi="ArialMT" w:cs="ArialMT"/>
          <w:szCs w:val="24"/>
          <w:highlight w:val="yellow"/>
        </w:rPr>
      </w:pPr>
    </w:p>
    <w:tbl>
      <w:tblPr>
        <w:tblW w:w="0" w:type="auto"/>
        <w:tblLook w:val="04A0"/>
      </w:tblPr>
      <w:tblGrid>
        <w:gridCol w:w="534"/>
        <w:gridCol w:w="4677"/>
        <w:gridCol w:w="2694"/>
        <w:gridCol w:w="1701"/>
      </w:tblGrid>
      <w:tr w:rsidR="00EB7754" w:rsidRPr="00B07458" w:rsidTr="00EB7754">
        <w:tc>
          <w:tcPr>
            <w:tcW w:w="534" w:type="dxa"/>
          </w:tcPr>
          <w:p w:rsidR="00F570B3" w:rsidRPr="00B07458" w:rsidRDefault="00F570B3" w:rsidP="00EB7754">
            <w:pPr>
              <w:rPr>
                <w:b/>
                <w:snapToGrid w:val="0"/>
                <w:szCs w:val="24"/>
                <w:highlight w:val="yellow"/>
                <w:lang w:eastAsia="en-US"/>
              </w:rPr>
            </w:pPr>
          </w:p>
        </w:tc>
        <w:tc>
          <w:tcPr>
            <w:tcW w:w="4677" w:type="dxa"/>
            <w:vAlign w:val="center"/>
          </w:tcPr>
          <w:p w:rsidR="00F570B3" w:rsidRPr="00C10AB8" w:rsidRDefault="00EB7754" w:rsidP="00EB7754">
            <w:pPr>
              <w:rPr>
                <w:b/>
                <w:szCs w:val="24"/>
              </w:rPr>
            </w:pPr>
            <w:r w:rsidRPr="00C10AB8">
              <w:rPr>
                <w:b/>
                <w:snapToGrid w:val="0"/>
                <w:szCs w:val="24"/>
                <w:lang w:eastAsia="en-US"/>
              </w:rPr>
              <w:t>Property</w:t>
            </w:r>
          </w:p>
        </w:tc>
        <w:tc>
          <w:tcPr>
            <w:tcW w:w="2694" w:type="dxa"/>
            <w:vAlign w:val="center"/>
          </w:tcPr>
          <w:p w:rsidR="00F570B3" w:rsidRPr="00C10AB8" w:rsidRDefault="00EB7754" w:rsidP="00EB7754">
            <w:pPr>
              <w:jc w:val="center"/>
              <w:rPr>
                <w:b/>
                <w:szCs w:val="24"/>
              </w:rPr>
            </w:pPr>
            <w:r w:rsidRPr="00C10AB8">
              <w:rPr>
                <w:b/>
                <w:snapToGrid w:val="0"/>
                <w:szCs w:val="24"/>
                <w:lang w:eastAsia="en-US"/>
              </w:rPr>
              <w:t>Sector</w:t>
            </w:r>
          </w:p>
        </w:tc>
        <w:tc>
          <w:tcPr>
            <w:tcW w:w="1701" w:type="dxa"/>
            <w:vAlign w:val="center"/>
          </w:tcPr>
          <w:p w:rsidR="00EB7754" w:rsidRPr="00C10AB8" w:rsidRDefault="00EB7754" w:rsidP="00EB7754">
            <w:pPr>
              <w:jc w:val="center"/>
              <w:rPr>
                <w:b/>
                <w:snapToGrid w:val="0"/>
                <w:szCs w:val="24"/>
                <w:lang w:eastAsia="en-US"/>
              </w:rPr>
            </w:pPr>
            <w:r w:rsidRPr="00C10AB8">
              <w:rPr>
                <w:b/>
                <w:snapToGrid w:val="0"/>
                <w:szCs w:val="24"/>
                <w:lang w:eastAsia="en-US"/>
              </w:rPr>
              <w:t>Market value</w:t>
            </w:r>
          </w:p>
          <w:p w:rsidR="00EB7754" w:rsidRPr="00C10AB8" w:rsidRDefault="00EB7754" w:rsidP="00EB7754">
            <w:pPr>
              <w:jc w:val="center"/>
              <w:rPr>
                <w:b/>
                <w:snapToGrid w:val="0"/>
                <w:szCs w:val="24"/>
                <w:lang w:eastAsia="en-US"/>
              </w:rPr>
            </w:pPr>
            <w:r w:rsidRPr="00C10AB8">
              <w:rPr>
                <w:b/>
                <w:snapToGrid w:val="0"/>
                <w:szCs w:val="24"/>
                <w:lang w:eastAsia="en-US"/>
              </w:rPr>
              <w:t>31 March 201</w:t>
            </w:r>
            <w:r w:rsidR="008538AB">
              <w:rPr>
                <w:b/>
                <w:snapToGrid w:val="0"/>
                <w:szCs w:val="24"/>
                <w:lang w:eastAsia="en-US"/>
              </w:rPr>
              <w:t>2</w:t>
            </w:r>
          </w:p>
          <w:p w:rsidR="00F570B3" w:rsidRPr="00C10AB8" w:rsidRDefault="00EB7754" w:rsidP="008538AB">
            <w:pPr>
              <w:jc w:val="center"/>
              <w:rPr>
                <w:b/>
                <w:szCs w:val="24"/>
              </w:rPr>
            </w:pPr>
            <w:r w:rsidRPr="00C10AB8">
              <w:rPr>
                <w:b/>
                <w:snapToGrid w:val="0"/>
                <w:szCs w:val="24"/>
                <w:lang w:eastAsia="en-US"/>
              </w:rPr>
              <w:t>£</w:t>
            </w:r>
            <w:r w:rsidR="008538AB">
              <w:rPr>
                <w:b/>
                <w:snapToGrid w:val="0"/>
                <w:szCs w:val="24"/>
                <w:lang w:eastAsia="en-US"/>
              </w:rPr>
              <w:t>m</w:t>
            </w:r>
          </w:p>
        </w:tc>
      </w:tr>
      <w:tr w:rsidR="00EB7754" w:rsidRPr="00B07458" w:rsidTr="00EB7754">
        <w:trPr>
          <w:trHeight w:val="454"/>
        </w:trPr>
        <w:tc>
          <w:tcPr>
            <w:tcW w:w="534" w:type="dxa"/>
          </w:tcPr>
          <w:p w:rsidR="00F570B3" w:rsidRPr="00B07458" w:rsidRDefault="00F570B3" w:rsidP="00EB7754">
            <w:pPr>
              <w:rPr>
                <w:snapToGrid w:val="0"/>
                <w:sz w:val="22"/>
                <w:szCs w:val="22"/>
                <w:highlight w:val="yellow"/>
                <w:lang w:eastAsia="en-US"/>
              </w:rPr>
            </w:pPr>
          </w:p>
        </w:tc>
        <w:tc>
          <w:tcPr>
            <w:tcW w:w="4677" w:type="dxa"/>
            <w:vAlign w:val="center"/>
          </w:tcPr>
          <w:p w:rsidR="00F570B3" w:rsidRPr="00B07458" w:rsidRDefault="00F570B3" w:rsidP="00EB7754">
            <w:pPr>
              <w:rPr>
                <w:snapToGrid w:val="0"/>
                <w:sz w:val="22"/>
                <w:szCs w:val="22"/>
                <w:highlight w:val="yellow"/>
                <w:lang w:eastAsia="en-US"/>
              </w:rPr>
            </w:pPr>
          </w:p>
        </w:tc>
        <w:tc>
          <w:tcPr>
            <w:tcW w:w="2694" w:type="dxa"/>
            <w:vAlign w:val="center"/>
          </w:tcPr>
          <w:p w:rsidR="00F570B3" w:rsidRPr="00B07458" w:rsidRDefault="00F570B3" w:rsidP="00EB7754">
            <w:pPr>
              <w:rPr>
                <w:snapToGrid w:val="0"/>
                <w:sz w:val="22"/>
                <w:szCs w:val="22"/>
                <w:highlight w:val="yellow"/>
                <w:lang w:eastAsia="en-US"/>
              </w:rPr>
            </w:pPr>
          </w:p>
        </w:tc>
        <w:tc>
          <w:tcPr>
            <w:tcW w:w="1701" w:type="dxa"/>
            <w:vAlign w:val="center"/>
          </w:tcPr>
          <w:p w:rsidR="00F570B3" w:rsidRPr="00B07458" w:rsidRDefault="00F570B3" w:rsidP="00EB7754">
            <w:pPr>
              <w:jc w:val="right"/>
              <w:rPr>
                <w:snapToGrid w:val="0"/>
                <w:sz w:val="22"/>
                <w:szCs w:val="22"/>
                <w:highlight w:val="yellow"/>
                <w:lang w:eastAsia="en-US"/>
              </w:rPr>
            </w:pPr>
          </w:p>
        </w:tc>
      </w:tr>
      <w:tr w:rsidR="00EB7754" w:rsidRPr="00B07458" w:rsidTr="00EB7754">
        <w:trPr>
          <w:trHeight w:val="454"/>
        </w:trPr>
        <w:tc>
          <w:tcPr>
            <w:tcW w:w="534" w:type="dxa"/>
          </w:tcPr>
          <w:p w:rsidR="00F570B3" w:rsidRPr="00B07458" w:rsidRDefault="00F570B3" w:rsidP="00EB7754">
            <w:pPr>
              <w:rPr>
                <w:snapToGrid w:val="0"/>
                <w:sz w:val="22"/>
                <w:szCs w:val="22"/>
                <w:highlight w:val="yellow"/>
                <w:lang w:eastAsia="en-US"/>
              </w:rPr>
            </w:pPr>
          </w:p>
        </w:tc>
        <w:tc>
          <w:tcPr>
            <w:tcW w:w="4677" w:type="dxa"/>
            <w:vAlign w:val="center"/>
          </w:tcPr>
          <w:p w:rsidR="00F570B3" w:rsidRPr="000B2827" w:rsidRDefault="00F570B3" w:rsidP="00EB7754">
            <w:pPr>
              <w:rPr>
                <w:b/>
                <w:sz w:val="28"/>
                <w:szCs w:val="28"/>
              </w:rPr>
            </w:pPr>
            <w:r w:rsidRPr="000B2827">
              <w:rPr>
                <w:rFonts w:cs="Arial"/>
              </w:rPr>
              <w:t>10 Brook St, London</w:t>
            </w:r>
          </w:p>
        </w:tc>
        <w:tc>
          <w:tcPr>
            <w:tcW w:w="2694" w:type="dxa"/>
            <w:vAlign w:val="center"/>
          </w:tcPr>
          <w:p w:rsidR="00F570B3" w:rsidRPr="000B2827" w:rsidRDefault="00F570B3" w:rsidP="00EB7754">
            <w:pPr>
              <w:rPr>
                <w:snapToGrid w:val="0"/>
                <w:sz w:val="22"/>
                <w:szCs w:val="22"/>
                <w:lang w:eastAsia="en-US"/>
              </w:rPr>
            </w:pPr>
            <w:r w:rsidRPr="000B2827">
              <w:rPr>
                <w:rFonts w:cs="Arial"/>
              </w:rPr>
              <w:t>Offices</w:t>
            </w:r>
          </w:p>
        </w:tc>
        <w:tc>
          <w:tcPr>
            <w:tcW w:w="1701" w:type="dxa"/>
            <w:vAlign w:val="center"/>
          </w:tcPr>
          <w:p w:rsidR="00F570B3" w:rsidRPr="000B2827" w:rsidRDefault="00F570B3" w:rsidP="003328F2">
            <w:pPr>
              <w:jc w:val="center"/>
              <w:rPr>
                <w:b/>
                <w:sz w:val="28"/>
                <w:szCs w:val="28"/>
              </w:rPr>
            </w:pPr>
            <w:r w:rsidRPr="000B2827">
              <w:rPr>
                <w:rFonts w:cs="Arial"/>
              </w:rPr>
              <w:t>3</w:t>
            </w:r>
            <w:r w:rsidR="000B2827" w:rsidRPr="000B2827">
              <w:rPr>
                <w:rFonts w:cs="Arial"/>
              </w:rPr>
              <w:t>2</w:t>
            </w:r>
            <w:r w:rsidR="003F36B9">
              <w:rPr>
                <w:rFonts w:cs="Arial"/>
              </w:rPr>
              <w:t>.8</w:t>
            </w:r>
          </w:p>
        </w:tc>
      </w:tr>
      <w:tr w:rsidR="00EB7754" w:rsidRPr="00B07458" w:rsidTr="00EB7754">
        <w:trPr>
          <w:trHeight w:val="454"/>
        </w:trPr>
        <w:tc>
          <w:tcPr>
            <w:tcW w:w="534" w:type="dxa"/>
          </w:tcPr>
          <w:p w:rsidR="00F570B3" w:rsidRPr="00B07458" w:rsidRDefault="00F570B3" w:rsidP="00EB7754">
            <w:pPr>
              <w:rPr>
                <w:snapToGrid w:val="0"/>
                <w:sz w:val="22"/>
                <w:szCs w:val="22"/>
                <w:highlight w:val="yellow"/>
                <w:lang w:eastAsia="en-US"/>
              </w:rPr>
            </w:pPr>
          </w:p>
        </w:tc>
        <w:tc>
          <w:tcPr>
            <w:tcW w:w="4677" w:type="dxa"/>
            <w:vAlign w:val="center"/>
          </w:tcPr>
          <w:p w:rsidR="00F570B3" w:rsidRPr="000B2827" w:rsidRDefault="0062759D" w:rsidP="00EB7754">
            <w:pPr>
              <w:rPr>
                <w:b/>
                <w:sz w:val="28"/>
                <w:szCs w:val="28"/>
              </w:rPr>
            </w:pPr>
            <w:r w:rsidRPr="000B2827">
              <w:rPr>
                <w:rFonts w:cs="Arial"/>
              </w:rPr>
              <w:t>Sainsbury</w:t>
            </w:r>
            <w:r w:rsidR="00EB7754" w:rsidRPr="000B2827">
              <w:rPr>
                <w:rFonts w:cs="Arial"/>
              </w:rPr>
              <w:t xml:space="preserve"> Store</w:t>
            </w:r>
            <w:r w:rsidR="00F570B3" w:rsidRPr="000B2827">
              <w:rPr>
                <w:rFonts w:cs="Arial"/>
              </w:rPr>
              <w:t>, Elgiva Lane, Chesham</w:t>
            </w:r>
          </w:p>
        </w:tc>
        <w:tc>
          <w:tcPr>
            <w:tcW w:w="2694" w:type="dxa"/>
            <w:vAlign w:val="center"/>
          </w:tcPr>
          <w:p w:rsidR="00F570B3" w:rsidRPr="000B2827" w:rsidRDefault="00F570B3" w:rsidP="00EB7754">
            <w:pPr>
              <w:rPr>
                <w:b/>
                <w:sz w:val="28"/>
                <w:szCs w:val="28"/>
              </w:rPr>
            </w:pPr>
            <w:r w:rsidRPr="000B2827">
              <w:rPr>
                <w:rFonts w:cs="Arial"/>
              </w:rPr>
              <w:t>Shops</w:t>
            </w:r>
          </w:p>
        </w:tc>
        <w:tc>
          <w:tcPr>
            <w:tcW w:w="1701" w:type="dxa"/>
            <w:vAlign w:val="center"/>
          </w:tcPr>
          <w:p w:rsidR="00F570B3" w:rsidRPr="000B2827" w:rsidRDefault="003F36B9" w:rsidP="003328F2">
            <w:pPr>
              <w:jc w:val="center"/>
              <w:rPr>
                <w:b/>
                <w:sz w:val="28"/>
                <w:szCs w:val="28"/>
              </w:rPr>
            </w:pPr>
            <w:r>
              <w:rPr>
                <w:rFonts w:cs="Arial"/>
              </w:rPr>
              <w:t>28.0</w:t>
            </w:r>
          </w:p>
        </w:tc>
      </w:tr>
      <w:tr w:rsidR="000B2827" w:rsidRPr="00B07458" w:rsidTr="00EB7754">
        <w:trPr>
          <w:trHeight w:val="454"/>
        </w:trPr>
        <w:tc>
          <w:tcPr>
            <w:tcW w:w="534" w:type="dxa"/>
          </w:tcPr>
          <w:p w:rsidR="000B2827" w:rsidRPr="00B07458" w:rsidRDefault="000B2827" w:rsidP="00EB7754">
            <w:pPr>
              <w:rPr>
                <w:snapToGrid w:val="0"/>
                <w:sz w:val="22"/>
                <w:szCs w:val="22"/>
                <w:highlight w:val="yellow"/>
                <w:lang w:eastAsia="en-US"/>
              </w:rPr>
            </w:pPr>
          </w:p>
        </w:tc>
        <w:tc>
          <w:tcPr>
            <w:tcW w:w="4677" w:type="dxa"/>
            <w:vAlign w:val="center"/>
          </w:tcPr>
          <w:p w:rsidR="000B2827" w:rsidRPr="000B2827" w:rsidRDefault="000B2827" w:rsidP="00EB7754">
            <w:pPr>
              <w:rPr>
                <w:rFonts w:cs="Arial"/>
              </w:rPr>
            </w:pPr>
            <w:r w:rsidRPr="000B2827">
              <w:rPr>
                <w:rFonts w:cs="Arial"/>
              </w:rPr>
              <w:t>Princes Mead Shopping Centre, Farnborough</w:t>
            </w:r>
          </w:p>
        </w:tc>
        <w:tc>
          <w:tcPr>
            <w:tcW w:w="2694" w:type="dxa"/>
            <w:vAlign w:val="center"/>
          </w:tcPr>
          <w:p w:rsidR="000B2827" w:rsidRPr="000B2827" w:rsidRDefault="000B2827" w:rsidP="00EB7754">
            <w:pPr>
              <w:rPr>
                <w:rFonts w:cs="Arial"/>
              </w:rPr>
            </w:pPr>
            <w:r w:rsidRPr="000B2827">
              <w:rPr>
                <w:rFonts w:cs="Arial"/>
              </w:rPr>
              <w:t>Shopping Centre</w:t>
            </w:r>
          </w:p>
        </w:tc>
        <w:tc>
          <w:tcPr>
            <w:tcW w:w="1701" w:type="dxa"/>
            <w:vAlign w:val="center"/>
          </w:tcPr>
          <w:p w:rsidR="000B2827" w:rsidRPr="000B2827" w:rsidRDefault="003F36B9" w:rsidP="003328F2">
            <w:pPr>
              <w:jc w:val="center"/>
              <w:rPr>
                <w:rFonts w:cs="Arial"/>
              </w:rPr>
            </w:pPr>
            <w:r>
              <w:rPr>
                <w:rFonts w:cs="Arial"/>
              </w:rPr>
              <w:t>25.9</w:t>
            </w:r>
          </w:p>
        </w:tc>
      </w:tr>
      <w:tr w:rsidR="00EB7754" w:rsidRPr="00B07458" w:rsidTr="00EB7754">
        <w:trPr>
          <w:trHeight w:val="454"/>
        </w:trPr>
        <w:tc>
          <w:tcPr>
            <w:tcW w:w="534" w:type="dxa"/>
          </w:tcPr>
          <w:p w:rsidR="00F570B3" w:rsidRPr="00B07458" w:rsidRDefault="00F570B3" w:rsidP="00EB7754">
            <w:pPr>
              <w:rPr>
                <w:snapToGrid w:val="0"/>
                <w:sz w:val="22"/>
                <w:szCs w:val="22"/>
                <w:highlight w:val="yellow"/>
                <w:lang w:eastAsia="en-US"/>
              </w:rPr>
            </w:pPr>
          </w:p>
        </w:tc>
        <w:tc>
          <w:tcPr>
            <w:tcW w:w="4677" w:type="dxa"/>
            <w:vAlign w:val="center"/>
          </w:tcPr>
          <w:p w:rsidR="00F570B3" w:rsidRPr="000B2827" w:rsidRDefault="00F570B3" w:rsidP="00EB7754">
            <w:pPr>
              <w:rPr>
                <w:b/>
                <w:sz w:val="28"/>
                <w:szCs w:val="28"/>
              </w:rPr>
            </w:pPr>
            <w:r w:rsidRPr="000B2827">
              <w:rPr>
                <w:rFonts w:cs="Arial"/>
              </w:rPr>
              <w:t>Benson House, Leeds</w:t>
            </w:r>
          </w:p>
        </w:tc>
        <w:tc>
          <w:tcPr>
            <w:tcW w:w="2694" w:type="dxa"/>
            <w:vAlign w:val="center"/>
          </w:tcPr>
          <w:p w:rsidR="00F570B3" w:rsidRPr="000B2827" w:rsidRDefault="00F570B3" w:rsidP="00EB7754">
            <w:pPr>
              <w:rPr>
                <w:b/>
                <w:sz w:val="28"/>
                <w:szCs w:val="28"/>
              </w:rPr>
            </w:pPr>
            <w:r w:rsidRPr="000B2827">
              <w:rPr>
                <w:rFonts w:cs="Arial"/>
              </w:rPr>
              <w:t>Offices</w:t>
            </w:r>
          </w:p>
        </w:tc>
        <w:tc>
          <w:tcPr>
            <w:tcW w:w="1701" w:type="dxa"/>
            <w:vAlign w:val="center"/>
          </w:tcPr>
          <w:p w:rsidR="00F570B3" w:rsidRPr="000B2827" w:rsidRDefault="00F570B3" w:rsidP="003328F2">
            <w:pPr>
              <w:jc w:val="center"/>
              <w:rPr>
                <w:b/>
                <w:sz w:val="28"/>
                <w:szCs w:val="28"/>
              </w:rPr>
            </w:pPr>
            <w:r w:rsidRPr="000B2827">
              <w:rPr>
                <w:rFonts w:cs="Arial"/>
              </w:rPr>
              <w:t>19</w:t>
            </w:r>
            <w:r w:rsidR="003F36B9">
              <w:rPr>
                <w:rFonts w:cs="Arial"/>
              </w:rPr>
              <w:t>.1</w:t>
            </w:r>
          </w:p>
        </w:tc>
      </w:tr>
      <w:tr w:rsidR="00EB7754" w:rsidRPr="00B07458" w:rsidTr="00EB7754">
        <w:trPr>
          <w:trHeight w:val="454"/>
        </w:trPr>
        <w:tc>
          <w:tcPr>
            <w:tcW w:w="534" w:type="dxa"/>
          </w:tcPr>
          <w:p w:rsidR="00F570B3" w:rsidRPr="00B07458" w:rsidRDefault="00F570B3" w:rsidP="00EB7754">
            <w:pPr>
              <w:rPr>
                <w:snapToGrid w:val="0"/>
                <w:sz w:val="22"/>
                <w:szCs w:val="22"/>
                <w:highlight w:val="yellow"/>
                <w:lang w:eastAsia="en-US"/>
              </w:rPr>
            </w:pPr>
          </w:p>
        </w:tc>
        <w:tc>
          <w:tcPr>
            <w:tcW w:w="4677" w:type="dxa"/>
            <w:vAlign w:val="center"/>
          </w:tcPr>
          <w:p w:rsidR="00F570B3" w:rsidRPr="000B2827" w:rsidRDefault="000B2827" w:rsidP="000B2827">
            <w:pPr>
              <w:rPr>
                <w:b/>
                <w:sz w:val="28"/>
                <w:szCs w:val="28"/>
              </w:rPr>
            </w:pPr>
            <w:r w:rsidRPr="000B2827">
              <w:rPr>
                <w:rFonts w:cs="Arial"/>
              </w:rPr>
              <w:t>Stukeley Road</w:t>
            </w:r>
            <w:r w:rsidR="00F570B3" w:rsidRPr="000B2827">
              <w:rPr>
                <w:rFonts w:cs="Arial"/>
              </w:rPr>
              <w:t xml:space="preserve"> </w:t>
            </w:r>
            <w:r w:rsidRPr="000B2827">
              <w:rPr>
                <w:rFonts w:cs="Arial"/>
              </w:rPr>
              <w:t>Retail Park</w:t>
            </w:r>
            <w:r w:rsidR="00F570B3" w:rsidRPr="000B2827">
              <w:rPr>
                <w:rFonts w:cs="Arial"/>
              </w:rPr>
              <w:t xml:space="preserve">, </w:t>
            </w:r>
            <w:r w:rsidRPr="000B2827">
              <w:rPr>
                <w:rFonts w:cs="Arial"/>
              </w:rPr>
              <w:t>Huntingdon</w:t>
            </w:r>
          </w:p>
        </w:tc>
        <w:tc>
          <w:tcPr>
            <w:tcW w:w="2694" w:type="dxa"/>
            <w:vAlign w:val="center"/>
          </w:tcPr>
          <w:p w:rsidR="00F570B3" w:rsidRPr="000B2827" w:rsidRDefault="000B2827" w:rsidP="000B2827">
            <w:pPr>
              <w:rPr>
                <w:b/>
                <w:sz w:val="28"/>
                <w:szCs w:val="28"/>
              </w:rPr>
            </w:pPr>
            <w:r w:rsidRPr="000B2827">
              <w:rPr>
                <w:rFonts w:cs="Arial"/>
              </w:rPr>
              <w:t>Retail Warehouse</w:t>
            </w:r>
          </w:p>
        </w:tc>
        <w:tc>
          <w:tcPr>
            <w:tcW w:w="1701" w:type="dxa"/>
            <w:vAlign w:val="center"/>
          </w:tcPr>
          <w:p w:rsidR="00F570B3" w:rsidRPr="000B2827" w:rsidRDefault="003F36B9" w:rsidP="003328F2">
            <w:pPr>
              <w:jc w:val="center"/>
              <w:rPr>
                <w:b/>
                <w:sz w:val="28"/>
                <w:szCs w:val="28"/>
              </w:rPr>
            </w:pPr>
            <w:r>
              <w:rPr>
                <w:rFonts w:cs="Arial"/>
              </w:rPr>
              <w:t>15.5</w:t>
            </w:r>
          </w:p>
        </w:tc>
      </w:tr>
      <w:tr w:rsidR="003F36B9" w:rsidRPr="00B07458" w:rsidTr="00EB7754">
        <w:trPr>
          <w:trHeight w:val="454"/>
        </w:trPr>
        <w:tc>
          <w:tcPr>
            <w:tcW w:w="534" w:type="dxa"/>
          </w:tcPr>
          <w:p w:rsidR="003F36B9" w:rsidRPr="00B07458" w:rsidRDefault="003F36B9" w:rsidP="00EB7754">
            <w:pPr>
              <w:rPr>
                <w:snapToGrid w:val="0"/>
                <w:sz w:val="22"/>
                <w:szCs w:val="22"/>
                <w:highlight w:val="yellow"/>
                <w:lang w:eastAsia="en-US"/>
              </w:rPr>
            </w:pPr>
          </w:p>
        </w:tc>
        <w:tc>
          <w:tcPr>
            <w:tcW w:w="4677" w:type="dxa"/>
            <w:vAlign w:val="center"/>
          </w:tcPr>
          <w:p w:rsidR="003F36B9" w:rsidRPr="000B2827" w:rsidRDefault="003F36B9" w:rsidP="009A3AFE">
            <w:pPr>
              <w:rPr>
                <w:snapToGrid w:val="0"/>
                <w:sz w:val="22"/>
                <w:szCs w:val="22"/>
                <w:lang w:eastAsia="en-US"/>
              </w:rPr>
            </w:pPr>
            <w:r w:rsidRPr="000B2827">
              <w:rPr>
                <w:rFonts w:cs="Arial"/>
              </w:rPr>
              <w:t>Somerfield Store, Wymondham</w:t>
            </w:r>
          </w:p>
        </w:tc>
        <w:tc>
          <w:tcPr>
            <w:tcW w:w="2694" w:type="dxa"/>
            <w:vAlign w:val="center"/>
          </w:tcPr>
          <w:p w:rsidR="003F36B9" w:rsidRPr="000B2827" w:rsidRDefault="003F36B9" w:rsidP="009A3AFE">
            <w:pPr>
              <w:rPr>
                <w:snapToGrid w:val="0"/>
                <w:sz w:val="22"/>
                <w:szCs w:val="22"/>
                <w:lang w:eastAsia="en-US"/>
              </w:rPr>
            </w:pPr>
            <w:r w:rsidRPr="000B2827">
              <w:rPr>
                <w:rFonts w:cs="Arial"/>
              </w:rPr>
              <w:t>Shops</w:t>
            </w:r>
          </w:p>
        </w:tc>
        <w:tc>
          <w:tcPr>
            <w:tcW w:w="1701" w:type="dxa"/>
            <w:vAlign w:val="center"/>
          </w:tcPr>
          <w:p w:rsidR="003F36B9" w:rsidRPr="000B2827" w:rsidRDefault="003F36B9" w:rsidP="003328F2">
            <w:pPr>
              <w:jc w:val="center"/>
              <w:rPr>
                <w:snapToGrid w:val="0"/>
                <w:sz w:val="22"/>
                <w:szCs w:val="22"/>
                <w:lang w:eastAsia="en-US"/>
              </w:rPr>
            </w:pPr>
            <w:r w:rsidRPr="000B2827">
              <w:rPr>
                <w:rFonts w:cs="Arial"/>
              </w:rPr>
              <w:t>15</w:t>
            </w:r>
            <w:r>
              <w:rPr>
                <w:rFonts w:cs="Arial"/>
              </w:rPr>
              <w:t>.3</w:t>
            </w:r>
          </w:p>
        </w:tc>
      </w:tr>
      <w:tr w:rsidR="003F36B9" w:rsidRPr="00B07458" w:rsidTr="00EB7754">
        <w:trPr>
          <w:trHeight w:val="454"/>
        </w:trPr>
        <w:tc>
          <w:tcPr>
            <w:tcW w:w="534" w:type="dxa"/>
          </w:tcPr>
          <w:p w:rsidR="003F36B9" w:rsidRPr="00B07458" w:rsidRDefault="003F36B9" w:rsidP="00EB7754">
            <w:pPr>
              <w:rPr>
                <w:snapToGrid w:val="0"/>
                <w:sz w:val="22"/>
                <w:szCs w:val="22"/>
                <w:highlight w:val="yellow"/>
                <w:lang w:eastAsia="en-US"/>
              </w:rPr>
            </w:pPr>
          </w:p>
        </w:tc>
        <w:tc>
          <w:tcPr>
            <w:tcW w:w="4677" w:type="dxa"/>
            <w:vAlign w:val="center"/>
          </w:tcPr>
          <w:p w:rsidR="003F36B9" w:rsidRPr="000B2827" w:rsidRDefault="003F36B9" w:rsidP="009A3AFE">
            <w:pPr>
              <w:rPr>
                <w:snapToGrid w:val="0"/>
                <w:sz w:val="22"/>
                <w:szCs w:val="22"/>
                <w:lang w:eastAsia="en-US"/>
              </w:rPr>
            </w:pPr>
            <w:r w:rsidRPr="000B2827">
              <w:rPr>
                <w:rFonts w:cs="Arial"/>
              </w:rPr>
              <w:t>Tuscany Park, Wakefield</w:t>
            </w:r>
          </w:p>
        </w:tc>
        <w:tc>
          <w:tcPr>
            <w:tcW w:w="2694" w:type="dxa"/>
            <w:vAlign w:val="center"/>
          </w:tcPr>
          <w:p w:rsidR="003F36B9" w:rsidRPr="000B2827" w:rsidRDefault="003F36B9" w:rsidP="009A3AFE">
            <w:pPr>
              <w:rPr>
                <w:snapToGrid w:val="0"/>
                <w:sz w:val="22"/>
                <w:szCs w:val="22"/>
                <w:lang w:eastAsia="en-US"/>
              </w:rPr>
            </w:pPr>
            <w:r w:rsidRPr="000B2827">
              <w:rPr>
                <w:rFonts w:cs="Arial"/>
              </w:rPr>
              <w:t>Industrial / Warehouse</w:t>
            </w:r>
          </w:p>
        </w:tc>
        <w:tc>
          <w:tcPr>
            <w:tcW w:w="1701" w:type="dxa"/>
            <w:vAlign w:val="center"/>
          </w:tcPr>
          <w:p w:rsidR="003F36B9" w:rsidRPr="000B2827" w:rsidRDefault="003F36B9" w:rsidP="003328F2">
            <w:pPr>
              <w:jc w:val="center"/>
              <w:rPr>
                <w:snapToGrid w:val="0"/>
                <w:sz w:val="22"/>
                <w:szCs w:val="22"/>
                <w:lang w:eastAsia="en-US"/>
              </w:rPr>
            </w:pPr>
            <w:r w:rsidRPr="000B2827">
              <w:rPr>
                <w:rFonts w:cs="Arial"/>
              </w:rPr>
              <w:t>15</w:t>
            </w:r>
            <w:r>
              <w:rPr>
                <w:rFonts w:cs="Arial"/>
              </w:rPr>
              <w:t>.1</w:t>
            </w:r>
          </w:p>
        </w:tc>
      </w:tr>
      <w:tr w:rsidR="003F36B9" w:rsidRPr="00B07458" w:rsidTr="00EB7754">
        <w:trPr>
          <w:trHeight w:val="454"/>
        </w:trPr>
        <w:tc>
          <w:tcPr>
            <w:tcW w:w="534" w:type="dxa"/>
          </w:tcPr>
          <w:p w:rsidR="003F36B9" w:rsidRPr="00B07458" w:rsidRDefault="003F36B9" w:rsidP="00EB7754">
            <w:pPr>
              <w:rPr>
                <w:snapToGrid w:val="0"/>
                <w:sz w:val="22"/>
                <w:szCs w:val="22"/>
                <w:highlight w:val="yellow"/>
                <w:lang w:eastAsia="en-US"/>
              </w:rPr>
            </w:pPr>
          </w:p>
        </w:tc>
        <w:tc>
          <w:tcPr>
            <w:tcW w:w="4677" w:type="dxa"/>
            <w:vAlign w:val="center"/>
          </w:tcPr>
          <w:p w:rsidR="003F36B9" w:rsidRPr="003F36B9" w:rsidRDefault="003F36B9" w:rsidP="009A3AFE">
            <w:pPr>
              <w:rPr>
                <w:rFonts w:cs="Arial"/>
              </w:rPr>
            </w:pPr>
            <w:r w:rsidRPr="003F36B9">
              <w:rPr>
                <w:rFonts w:cs="Arial"/>
              </w:rPr>
              <w:t>1 &amp; 2 Woodbridge Meadows, Guildford</w:t>
            </w:r>
          </w:p>
        </w:tc>
        <w:tc>
          <w:tcPr>
            <w:tcW w:w="2694" w:type="dxa"/>
            <w:vAlign w:val="center"/>
          </w:tcPr>
          <w:p w:rsidR="003F36B9" w:rsidRPr="003F36B9" w:rsidRDefault="003F36B9" w:rsidP="009A3AFE">
            <w:pPr>
              <w:rPr>
                <w:rFonts w:cs="Arial"/>
              </w:rPr>
            </w:pPr>
            <w:r>
              <w:rPr>
                <w:rFonts w:cs="Arial"/>
              </w:rPr>
              <w:t>Multi-let Commercial Building</w:t>
            </w:r>
          </w:p>
        </w:tc>
        <w:tc>
          <w:tcPr>
            <w:tcW w:w="1701" w:type="dxa"/>
            <w:vAlign w:val="center"/>
          </w:tcPr>
          <w:p w:rsidR="003F36B9" w:rsidRPr="003F36B9" w:rsidRDefault="003F36B9" w:rsidP="003328F2">
            <w:pPr>
              <w:jc w:val="center"/>
              <w:rPr>
                <w:rFonts w:cs="Arial"/>
              </w:rPr>
            </w:pPr>
            <w:r>
              <w:rPr>
                <w:rFonts w:cs="Arial"/>
              </w:rPr>
              <w:t>13.7</w:t>
            </w:r>
          </w:p>
        </w:tc>
      </w:tr>
      <w:tr w:rsidR="003F36B9" w:rsidRPr="00B07458" w:rsidTr="00EB7754">
        <w:trPr>
          <w:trHeight w:val="454"/>
        </w:trPr>
        <w:tc>
          <w:tcPr>
            <w:tcW w:w="534" w:type="dxa"/>
          </w:tcPr>
          <w:p w:rsidR="003F36B9" w:rsidRPr="00B07458" w:rsidRDefault="003F36B9" w:rsidP="00EB7754">
            <w:pPr>
              <w:rPr>
                <w:snapToGrid w:val="0"/>
                <w:sz w:val="22"/>
                <w:szCs w:val="22"/>
                <w:highlight w:val="yellow"/>
                <w:lang w:eastAsia="en-US"/>
              </w:rPr>
            </w:pPr>
          </w:p>
        </w:tc>
        <w:tc>
          <w:tcPr>
            <w:tcW w:w="4677" w:type="dxa"/>
            <w:vAlign w:val="center"/>
          </w:tcPr>
          <w:p w:rsidR="003F36B9" w:rsidRPr="000B2827" w:rsidRDefault="003F36B9" w:rsidP="00EB7754">
            <w:pPr>
              <w:rPr>
                <w:b/>
                <w:sz w:val="28"/>
                <w:szCs w:val="28"/>
              </w:rPr>
            </w:pPr>
            <w:r w:rsidRPr="000B2827">
              <w:rPr>
                <w:rFonts w:cs="Arial"/>
              </w:rPr>
              <w:t>Effra Road Retail Park, Brixton</w:t>
            </w:r>
          </w:p>
        </w:tc>
        <w:tc>
          <w:tcPr>
            <w:tcW w:w="2694" w:type="dxa"/>
            <w:vAlign w:val="center"/>
          </w:tcPr>
          <w:p w:rsidR="003F36B9" w:rsidRPr="000B2827" w:rsidRDefault="003F36B9" w:rsidP="00EB7754">
            <w:pPr>
              <w:rPr>
                <w:b/>
                <w:sz w:val="28"/>
                <w:szCs w:val="28"/>
              </w:rPr>
            </w:pPr>
            <w:r w:rsidRPr="000B2827">
              <w:rPr>
                <w:rFonts w:cs="Arial"/>
              </w:rPr>
              <w:t>Retail Warehouse</w:t>
            </w:r>
          </w:p>
        </w:tc>
        <w:tc>
          <w:tcPr>
            <w:tcW w:w="1701" w:type="dxa"/>
            <w:vAlign w:val="center"/>
          </w:tcPr>
          <w:p w:rsidR="003F36B9" w:rsidRPr="000B2827" w:rsidRDefault="003F36B9" w:rsidP="003328F2">
            <w:pPr>
              <w:jc w:val="center"/>
              <w:rPr>
                <w:b/>
                <w:sz w:val="28"/>
                <w:szCs w:val="28"/>
              </w:rPr>
            </w:pPr>
            <w:r>
              <w:rPr>
                <w:rFonts w:cs="Arial"/>
              </w:rPr>
              <w:t>12.0</w:t>
            </w:r>
          </w:p>
        </w:tc>
      </w:tr>
      <w:tr w:rsidR="003F36B9" w:rsidRPr="00B07458" w:rsidTr="00EB7754">
        <w:trPr>
          <w:trHeight w:val="454"/>
        </w:trPr>
        <w:tc>
          <w:tcPr>
            <w:tcW w:w="534" w:type="dxa"/>
          </w:tcPr>
          <w:p w:rsidR="003F36B9" w:rsidRPr="00B07458" w:rsidRDefault="003F36B9" w:rsidP="00EB7754">
            <w:pPr>
              <w:rPr>
                <w:snapToGrid w:val="0"/>
                <w:sz w:val="22"/>
                <w:szCs w:val="22"/>
                <w:highlight w:val="yellow"/>
                <w:lang w:eastAsia="en-US"/>
              </w:rPr>
            </w:pPr>
          </w:p>
        </w:tc>
        <w:tc>
          <w:tcPr>
            <w:tcW w:w="4677" w:type="dxa"/>
            <w:vAlign w:val="center"/>
          </w:tcPr>
          <w:p w:rsidR="003F36B9" w:rsidRPr="000B2827" w:rsidRDefault="003F36B9" w:rsidP="00EB7754">
            <w:pPr>
              <w:rPr>
                <w:b/>
                <w:sz w:val="28"/>
                <w:szCs w:val="28"/>
              </w:rPr>
            </w:pPr>
            <w:r w:rsidRPr="000B2827">
              <w:rPr>
                <w:rFonts w:cs="Arial"/>
              </w:rPr>
              <w:t>Endeavour Way, Wimbledon</w:t>
            </w:r>
          </w:p>
        </w:tc>
        <w:tc>
          <w:tcPr>
            <w:tcW w:w="2694" w:type="dxa"/>
            <w:vAlign w:val="center"/>
          </w:tcPr>
          <w:p w:rsidR="003F36B9" w:rsidRPr="000B2827" w:rsidRDefault="003F36B9" w:rsidP="00EB7754">
            <w:pPr>
              <w:rPr>
                <w:b/>
                <w:sz w:val="28"/>
                <w:szCs w:val="28"/>
              </w:rPr>
            </w:pPr>
            <w:r w:rsidRPr="000B2827">
              <w:rPr>
                <w:rFonts w:cs="Arial"/>
              </w:rPr>
              <w:t>Retail Warehouse</w:t>
            </w:r>
          </w:p>
        </w:tc>
        <w:tc>
          <w:tcPr>
            <w:tcW w:w="1701" w:type="dxa"/>
            <w:tcBorders>
              <w:bottom w:val="single" w:sz="4" w:space="0" w:color="auto"/>
            </w:tcBorders>
            <w:vAlign w:val="center"/>
          </w:tcPr>
          <w:p w:rsidR="003F36B9" w:rsidRPr="000B2827" w:rsidRDefault="003F36B9" w:rsidP="003328F2">
            <w:pPr>
              <w:jc w:val="center"/>
              <w:rPr>
                <w:b/>
                <w:sz w:val="28"/>
                <w:szCs w:val="28"/>
              </w:rPr>
            </w:pPr>
            <w:r>
              <w:rPr>
                <w:rFonts w:cs="Arial"/>
              </w:rPr>
              <w:t>11.5</w:t>
            </w:r>
          </w:p>
        </w:tc>
      </w:tr>
      <w:tr w:rsidR="003F36B9" w:rsidRPr="00B07458" w:rsidTr="000B2827">
        <w:trPr>
          <w:trHeight w:val="603"/>
        </w:trPr>
        <w:tc>
          <w:tcPr>
            <w:tcW w:w="534" w:type="dxa"/>
          </w:tcPr>
          <w:p w:rsidR="003F36B9" w:rsidRPr="00B07458" w:rsidRDefault="003F36B9" w:rsidP="00EB7754">
            <w:pPr>
              <w:rPr>
                <w:sz w:val="22"/>
                <w:szCs w:val="22"/>
                <w:highlight w:val="yellow"/>
              </w:rPr>
            </w:pPr>
          </w:p>
        </w:tc>
        <w:tc>
          <w:tcPr>
            <w:tcW w:w="4677" w:type="dxa"/>
            <w:vAlign w:val="center"/>
          </w:tcPr>
          <w:p w:rsidR="003F36B9" w:rsidRPr="000B2827" w:rsidRDefault="003F36B9" w:rsidP="00EB7754">
            <w:pPr>
              <w:rPr>
                <w:b/>
                <w:szCs w:val="24"/>
              </w:rPr>
            </w:pPr>
            <w:r w:rsidRPr="000B2827">
              <w:rPr>
                <w:szCs w:val="24"/>
              </w:rPr>
              <w:t>Total</w:t>
            </w:r>
          </w:p>
        </w:tc>
        <w:tc>
          <w:tcPr>
            <w:tcW w:w="2694" w:type="dxa"/>
            <w:vAlign w:val="center"/>
          </w:tcPr>
          <w:p w:rsidR="003F36B9" w:rsidRPr="000B2827" w:rsidRDefault="003F36B9" w:rsidP="00EB7754">
            <w:pPr>
              <w:rPr>
                <w:b/>
                <w:sz w:val="28"/>
                <w:szCs w:val="28"/>
              </w:rPr>
            </w:pPr>
          </w:p>
        </w:tc>
        <w:tc>
          <w:tcPr>
            <w:tcW w:w="1701" w:type="dxa"/>
            <w:tcBorders>
              <w:top w:val="single" w:sz="4" w:space="0" w:color="auto"/>
              <w:bottom w:val="single" w:sz="4" w:space="0" w:color="auto"/>
            </w:tcBorders>
            <w:vAlign w:val="center"/>
          </w:tcPr>
          <w:p w:rsidR="003F36B9" w:rsidRPr="003F36B9" w:rsidRDefault="003F36B9" w:rsidP="003328F2">
            <w:pPr>
              <w:jc w:val="center"/>
              <w:rPr>
                <w:rFonts w:cs="Arial"/>
              </w:rPr>
            </w:pPr>
            <w:r w:rsidRPr="003F36B9">
              <w:rPr>
                <w:rFonts w:cs="Arial"/>
              </w:rPr>
              <w:t>188.9</w:t>
            </w:r>
          </w:p>
        </w:tc>
      </w:tr>
    </w:tbl>
    <w:p w:rsidR="00F570B3" w:rsidRPr="00B07458" w:rsidRDefault="00F570B3" w:rsidP="00EB4217">
      <w:pPr>
        <w:autoSpaceDE w:val="0"/>
        <w:autoSpaceDN w:val="0"/>
        <w:adjustRightInd w:val="0"/>
        <w:rPr>
          <w:rFonts w:ascii="ArialMT" w:hAnsi="ArialMT" w:cs="ArialMT"/>
          <w:szCs w:val="24"/>
          <w:highlight w:val="yellow"/>
        </w:rPr>
      </w:pPr>
    </w:p>
    <w:p w:rsidR="00442CEC" w:rsidRPr="00B07458" w:rsidRDefault="00442CEC" w:rsidP="00EB4217">
      <w:pPr>
        <w:autoSpaceDE w:val="0"/>
        <w:autoSpaceDN w:val="0"/>
        <w:adjustRightInd w:val="0"/>
        <w:rPr>
          <w:rFonts w:ascii="ArialMT" w:hAnsi="ArialMT" w:cs="ArialMT"/>
          <w:noProof/>
          <w:szCs w:val="24"/>
          <w:highlight w:val="yellow"/>
        </w:rPr>
      </w:pPr>
    </w:p>
    <w:p w:rsidR="00CF6709" w:rsidRPr="00B07458" w:rsidRDefault="00CF6709" w:rsidP="00EB4217">
      <w:pPr>
        <w:autoSpaceDE w:val="0"/>
        <w:autoSpaceDN w:val="0"/>
        <w:adjustRightInd w:val="0"/>
        <w:rPr>
          <w:rFonts w:ascii="ArialMT" w:hAnsi="ArialMT" w:cs="ArialMT"/>
          <w:noProof/>
          <w:szCs w:val="24"/>
          <w:highlight w:val="yellow"/>
        </w:rPr>
      </w:pPr>
    </w:p>
    <w:p w:rsidR="00FB35EF" w:rsidRPr="009A3AFE" w:rsidRDefault="00FB35EF" w:rsidP="00EB4217">
      <w:pPr>
        <w:autoSpaceDE w:val="0"/>
        <w:autoSpaceDN w:val="0"/>
        <w:adjustRightInd w:val="0"/>
        <w:rPr>
          <w:rFonts w:ascii="Arial-BoldMT" w:hAnsi="Arial-BoldMT" w:cs="Arial-BoldMT"/>
          <w:b/>
          <w:bCs/>
          <w:szCs w:val="24"/>
          <w:highlight w:val="yellow"/>
        </w:rPr>
      </w:pPr>
    </w:p>
    <w:p w:rsidR="00EB4217" w:rsidRPr="00DB76A7" w:rsidRDefault="00EB4217" w:rsidP="00EB4217">
      <w:pPr>
        <w:autoSpaceDE w:val="0"/>
        <w:autoSpaceDN w:val="0"/>
        <w:adjustRightInd w:val="0"/>
        <w:rPr>
          <w:rFonts w:ascii="Arial-BoldMT" w:hAnsi="Arial-BoldMT" w:cs="Arial-BoldMT"/>
          <w:b/>
          <w:bCs/>
          <w:szCs w:val="24"/>
        </w:rPr>
      </w:pPr>
      <w:r w:rsidRPr="00DB76A7">
        <w:rPr>
          <w:rFonts w:ascii="Arial-BoldMT" w:hAnsi="Arial-BoldMT" w:cs="Arial-BoldMT"/>
          <w:b/>
          <w:bCs/>
          <w:szCs w:val="24"/>
        </w:rPr>
        <w:t>Policies in respect of Socially Responsible Investment and Voting</w:t>
      </w:r>
    </w:p>
    <w:p w:rsidR="00EB4217" w:rsidRPr="009A3AFE" w:rsidRDefault="00EB4217" w:rsidP="00EB4217">
      <w:pPr>
        <w:autoSpaceDE w:val="0"/>
        <w:autoSpaceDN w:val="0"/>
        <w:adjustRightInd w:val="0"/>
        <w:rPr>
          <w:rFonts w:ascii="ArialMT" w:hAnsi="ArialMT" w:cs="ArialMT"/>
          <w:szCs w:val="24"/>
          <w:highlight w:val="yellow"/>
        </w:rPr>
      </w:pPr>
    </w:p>
    <w:p w:rsidR="00EB4217" w:rsidRPr="00DB76A7" w:rsidRDefault="00EB4217" w:rsidP="00EB4217">
      <w:pPr>
        <w:autoSpaceDE w:val="0"/>
        <w:autoSpaceDN w:val="0"/>
        <w:adjustRightInd w:val="0"/>
        <w:rPr>
          <w:rFonts w:ascii="Arial-BoldMT" w:hAnsi="Arial-BoldMT" w:cs="Arial-BoldMT"/>
          <w:bCs/>
          <w:szCs w:val="24"/>
        </w:rPr>
      </w:pPr>
      <w:r w:rsidRPr="00DB76A7">
        <w:rPr>
          <w:rFonts w:ascii="Arial-BoldMT" w:hAnsi="Arial-BoldMT" w:cs="Arial-BoldMT"/>
          <w:bCs/>
          <w:szCs w:val="24"/>
        </w:rPr>
        <w:t>Social, Environmental and Ethical Considerations</w:t>
      </w:r>
    </w:p>
    <w:p w:rsidR="00EB4217" w:rsidRDefault="00EB4217" w:rsidP="00EB4217">
      <w:pPr>
        <w:autoSpaceDE w:val="0"/>
        <w:autoSpaceDN w:val="0"/>
        <w:adjustRightInd w:val="0"/>
        <w:rPr>
          <w:rFonts w:ascii="ArialMT" w:hAnsi="ArialMT" w:cs="ArialMT"/>
          <w:szCs w:val="24"/>
          <w:highlight w:val="yellow"/>
        </w:rPr>
      </w:pPr>
    </w:p>
    <w:p w:rsidR="00D105A6" w:rsidRPr="00D105A6" w:rsidRDefault="00D105A6" w:rsidP="00D105A6">
      <w:pPr>
        <w:pStyle w:val="NormalWeb"/>
        <w:spacing w:line="300" w:lineRule="atLeast"/>
        <w:jc w:val="both"/>
        <w:rPr>
          <w:rFonts w:ascii="ArialMT" w:hAnsi="ArialMT" w:cs="ArialMT"/>
          <w:szCs w:val="24"/>
        </w:rPr>
      </w:pPr>
      <w:r w:rsidRPr="00D105A6">
        <w:rPr>
          <w:rFonts w:ascii="ArialMT" w:hAnsi="ArialMT" w:cs="ArialMT"/>
          <w:szCs w:val="24"/>
        </w:rPr>
        <w:t xml:space="preserve">The Fund </w:t>
      </w:r>
      <w:r w:rsidR="00073F5E">
        <w:rPr>
          <w:rFonts w:ascii="ArialMT" w:hAnsi="ArialMT" w:cs="ArialMT"/>
          <w:szCs w:val="24"/>
        </w:rPr>
        <w:t xml:space="preserve">is </w:t>
      </w:r>
      <w:r w:rsidRPr="00D105A6">
        <w:rPr>
          <w:rFonts w:ascii="ArialMT" w:hAnsi="ArialMT" w:cs="ArialMT"/>
          <w:szCs w:val="24"/>
        </w:rPr>
        <w:t xml:space="preserve">active on governance issues </w:t>
      </w:r>
      <w:r w:rsidR="00073F5E">
        <w:rPr>
          <w:rFonts w:ascii="ArialMT" w:hAnsi="ArialMT" w:cs="ArialMT"/>
          <w:szCs w:val="24"/>
        </w:rPr>
        <w:t>through its</w:t>
      </w:r>
      <w:r w:rsidRPr="00D105A6">
        <w:rPr>
          <w:rFonts w:ascii="ArialMT" w:hAnsi="ArialMT" w:cs="ArialMT"/>
          <w:szCs w:val="24"/>
        </w:rPr>
        <w:t xml:space="preserve"> member</w:t>
      </w:r>
      <w:r w:rsidR="00073F5E">
        <w:rPr>
          <w:rFonts w:ascii="ArialMT" w:hAnsi="ArialMT" w:cs="ArialMT"/>
          <w:szCs w:val="24"/>
        </w:rPr>
        <w:t>ship</w:t>
      </w:r>
      <w:r w:rsidRPr="00D105A6">
        <w:rPr>
          <w:rFonts w:ascii="ArialMT" w:hAnsi="ArialMT" w:cs="ArialMT"/>
          <w:szCs w:val="24"/>
        </w:rPr>
        <w:t xml:space="preserve"> of the Local Authority Pension Fund Forum</w:t>
      </w:r>
      <w:r>
        <w:rPr>
          <w:rFonts w:ascii="ArialMT" w:hAnsi="ArialMT" w:cs="ArialMT"/>
          <w:szCs w:val="24"/>
        </w:rPr>
        <w:t xml:space="preserve"> ("LAPFF")</w:t>
      </w:r>
      <w:r w:rsidRPr="00D105A6">
        <w:rPr>
          <w:rFonts w:ascii="ArialMT" w:hAnsi="ArialMT" w:cs="ArialMT"/>
          <w:szCs w:val="24"/>
        </w:rPr>
        <w:t>, which exists to promote the investment interests of local authority pension funds, and to maximise their influence as shareholders whilst promoting social responsibility and corporate governance at the companies in which they invest.</w:t>
      </w:r>
    </w:p>
    <w:p w:rsidR="00DB76A7" w:rsidRDefault="00DB76A7" w:rsidP="00EB4217">
      <w:pPr>
        <w:autoSpaceDE w:val="0"/>
        <w:autoSpaceDN w:val="0"/>
        <w:adjustRightInd w:val="0"/>
        <w:rPr>
          <w:rFonts w:ascii="ArialMT" w:hAnsi="ArialMT" w:cs="ArialMT"/>
          <w:szCs w:val="24"/>
          <w:lang w:val="en-US"/>
        </w:rPr>
      </w:pPr>
    </w:p>
    <w:p w:rsidR="00D105A6" w:rsidRPr="00D105A6" w:rsidRDefault="00D105A6" w:rsidP="00EB4217">
      <w:pPr>
        <w:autoSpaceDE w:val="0"/>
        <w:autoSpaceDN w:val="0"/>
        <w:adjustRightInd w:val="0"/>
        <w:rPr>
          <w:rFonts w:ascii="ArialMT" w:hAnsi="ArialMT" w:cs="ArialMT"/>
          <w:szCs w:val="24"/>
          <w:lang w:val="en-US"/>
        </w:rPr>
      </w:pPr>
      <w:r w:rsidRPr="00D105A6">
        <w:rPr>
          <w:rFonts w:ascii="ArialMT" w:hAnsi="ArialMT" w:cs="ArialMT"/>
          <w:szCs w:val="24"/>
          <w:lang w:val="en-US"/>
        </w:rPr>
        <w:t>The Fund</w:t>
      </w:r>
      <w:r w:rsidR="00073F5E">
        <w:rPr>
          <w:rFonts w:ascii="ArialMT" w:hAnsi="ArialMT" w:cs="ArialMT"/>
          <w:szCs w:val="24"/>
          <w:lang w:val="en-US"/>
        </w:rPr>
        <w:t xml:space="preserve"> also </w:t>
      </w:r>
      <w:r w:rsidR="00865220">
        <w:rPr>
          <w:rFonts w:ascii="ArialMT" w:hAnsi="ArialMT" w:cs="ArialMT"/>
          <w:szCs w:val="24"/>
          <w:lang w:val="en-US"/>
        </w:rPr>
        <w:t>uses</w:t>
      </w:r>
      <w:r w:rsidR="00073F5E">
        <w:rPr>
          <w:rFonts w:ascii="ArialMT" w:hAnsi="ArialMT" w:cs="ArialMT"/>
          <w:szCs w:val="24"/>
          <w:lang w:val="en-US"/>
        </w:rPr>
        <w:t xml:space="preserve"> the services </w:t>
      </w:r>
      <w:r>
        <w:rPr>
          <w:rFonts w:ascii="ArialMT" w:hAnsi="ArialMT" w:cs="ArialMT"/>
          <w:szCs w:val="24"/>
          <w:lang w:val="en-US"/>
        </w:rPr>
        <w:t xml:space="preserve">of </w:t>
      </w:r>
      <w:r w:rsidRPr="00D105A6">
        <w:rPr>
          <w:rFonts w:ascii="ArialMT" w:hAnsi="ArialMT" w:cs="ArialMT"/>
          <w:szCs w:val="24"/>
          <w:lang w:val="en-US"/>
        </w:rPr>
        <w:t>Pensions Investment Research Consultants ("PIRC"), which is a leading independent research and advisory consultancy providing services to institutional investors on corporate governance and corporate social responsibility,</w:t>
      </w:r>
    </w:p>
    <w:p w:rsidR="00EB4217" w:rsidRPr="009A3AFE" w:rsidRDefault="00EB4217" w:rsidP="00EB4217">
      <w:pPr>
        <w:autoSpaceDE w:val="0"/>
        <w:autoSpaceDN w:val="0"/>
        <w:adjustRightInd w:val="0"/>
        <w:rPr>
          <w:rFonts w:ascii="Arial-BoldMT" w:hAnsi="Arial-BoldMT" w:cs="Arial-BoldMT"/>
          <w:b/>
          <w:bCs/>
          <w:szCs w:val="24"/>
          <w:highlight w:val="yellow"/>
        </w:rPr>
      </w:pPr>
    </w:p>
    <w:p w:rsidR="00EB4217" w:rsidRPr="00DB76A7" w:rsidRDefault="00EB4217" w:rsidP="00EB4217">
      <w:pPr>
        <w:autoSpaceDE w:val="0"/>
        <w:autoSpaceDN w:val="0"/>
        <w:adjustRightInd w:val="0"/>
        <w:rPr>
          <w:rFonts w:ascii="Arial-BoldMT" w:hAnsi="Arial-BoldMT" w:cs="Arial-BoldMT"/>
          <w:bCs/>
          <w:szCs w:val="24"/>
        </w:rPr>
      </w:pPr>
      <w:r w:rsidRPr="00DB76A7">
        <w:rPr>
          <w:rFonts w:ascii="Arial-BoldMT" w:hAnsi="Arial-BoldMT" w:cs="Arial-BoldMT"/>
          <w:bCs/>
          <w:szCs w:val="24"/>
        </w:rPr>
        <w:t>Policy on Voting</w:t>
      </w:r>
    </w:p>
    <w:p w:rsidR="00EB4217" w:rsidRPr="009A3AFE" w:rsidRDefault="00EB4217" w:rsidP="00EB4217">
      <w:pPr>
        <w:autoSpaceDE w:val="0"/>
        <w:autoSpaceDN w:val="0"/>
        <w:adjustRightInd w:val="0"/>
        <w:rPr>
          <w:rFonts w:ascii="ArialMT" w:hAnsi="ArialMT" w:cs="ArialMT"/>
          <w:szCs w:val="24"/>
          <w:highlight w:val="yellow"/>
        </w:rPr>
      </w:pPr>
    </w:p>
    <w:p w:rsidR="00DB76A7" w:rsidRDefault="00DB76A7" w:rsidP="00EE6902">
      <w:pPr>
        <w:autoSpaceDE w:val="0"/>
        <w:autoSpaceDN w:val="0"/>
        <w:adjustRightInd w:val="0"/>
      </w:pPr>
      <w:r>
        <w:t xml:space="preserve">For many years, the Fund has followed the voting recommendations of PIRC with the Fund's managers being instructed to vote at shareholder meetings in accordance with </w:t>
      </w:r>
      <w:r>
        <w:lastRenderedPageBreak/>
        <w:t>PIRC's recommendations.  From 1</w:t>
      </w:r>
      <w:r w:rsidRPr="006E5686">
        <w:rPr>
          <w:vertAlign w:val="superscript"/>
        </w:rPr>
        <w:t>st</w:t>
      </w:r>
      <w:r>
        <w:t xml:space="preserve"> October 2011, PIRC has been acting as the Fund's proxy and casting the Fund's votes directly at shareholder meetings.  </w:t>
      </w:r>
    </w:p>
    <w:p w:rsidR="00DB76A7" w:rsidRDefault="00DB76A7" w:rsidP="00EE6902">
      <w:pPr>
        <w:autoSpaceDE w:val="0"/>
        <w:autoSpaceDN w:val="0"/>
        <w:adjustRightInd w:val="0"/>
      </w:pPr>
    </w:p>
    <w:p w:rsidR="00DB76A7" w:rsidRDefault="00DB76A7" w:rsidP="00EE6902">
      <w:pPr>
        <w:autoSpaceDE w:val="0"/>
        <w:autoSpaceDN w:val="0"/>
        <w:adjustRightInd w:val="0"/>
      </w:pPr>
      <w:r>
        <w:t xml:space="preserve">The Fund's investment managers </w:t>
      </w:r>
      <w:r w:rsidR="00C943E4">
        <w:t>receive advance notice of PIRC's voting intentions and may raise concerns with the Fund if they do not believe the recommended stance on a vote is in the best financial interests of the Fund.</w:t>
      </w:r>
    </w:p>
    <w:p w:rsidR="00C943E4" w:rsidRDefault="00C943E4" w:rsidP="00EE6902">
      <w:pPr>
        <w:autoSpaceDE w:val="0"/>
        <w:autoSpaceDN w:val="0"/>
        <w:adjustRightInd w:val="0"/>
      </w:pPr>
    </w:p>
    <w:p w:rsidR="00C943E4" w:rsidRPr="00C943E4" w:rsidRDefault="00C943E4" w:rsidP="00C943E4">
      <w:pPr>
        <w:autoSpaceDE w:val="0"/>
        <w:autoSpaceDN w:val="0"/>
        <w:adjustRightInd w:val="0"/>
        <w:rPr>
          <w:rFonts w:ascii="ArialMT" w:hAnsi="ArialMT" w:cs="ArialMT"/>
          <w:szCs w:val="24"/>
        </w:rPr>
      </w:pPr>
      <w:r w:rsidRPr="00C943E4">
        <w:rPr>
          <w:rFonts w:ascii="ArialMT" w:hAnsi="ArialMT" w:cs="ArialMT"/>
          <w:szCs w:val="24"/>
        </w:rPr>
        <w:t>The Committee delegates its agreement of any significant departure from the guidelines proposed by the managers, to the Treasurer as Chair of the Investment Panel. In all voting decisions the long-term financial interests of the Fund are paramount.</w:t>
      </w:r>
      <w:r w:rsidR="00865220">
        <w:rPr>
          <w:rFonts w:ascii="ArialMT" w:hAnsi="ArialMT" w:cs="ArialMT"/>
          <w:szCs w:val="24"/>
        </w:rPr>
        <w:t xml:space="preserve"> There were no occurrences of this during 2011/12.</w:t>
      </w:r>
    </w:p>
    <w:p w:rsidR="00C943E4" w:rsidRPr="00C943E4" w:rsidRDefault="00C943E4" w:rsidP="00C943E4">
      <w:pPr>
        <w:autoSpaceDE w:val="0"/>
        <w:autoSpaceDN w:val="0"/>
        <w:adjustRightInd w:val="0"/>
        <w:rPr>
          <w:rFonts w:ascii="ArialMT" w:hAnsi="ArialMT" w:cs="ArialMT"/>
          <w:szCs w:val="24"/>
        </w:rPr>
      </w:pPr>
    </w:p>
    <w:p w:rsidR="00EB4217" w:rsidRPr="009A3AFE" w:rsidRDefault="00EB4217" w:rsidP="00EB4217">
      <w:pPr>
        <w:autoSpaceDE w:val="0"/>
        <w:autoSpaceDN w:val="0"/>
        <w:adjustRightInd w:val="0"/>
        <w:rPr>
          <w:rFonts w:ascii="ArialMT" w:hAnsi="ArialMT" w:cs="ArialMT"/>
          <w:szCs w:val="24"/>
          <w:highlight w:val="yellow"/>
        </w:rPr>
      </w:pPr>
    </w:p>
    <w:p w:rsidR="00C943E4" w:rsidRPr="00570240" w:rsidRDefault="00C943E4" w:rsidP="00C943E4">
      <w:pPr>
        <w:autoSpaceDE w:val="0"/>
        <w:autoSpaceDN w:val="0"/>
        <w:adjustRightInd w:val="0"/>
        <w:rPr>
          <w:rFonts w:ascii="Arial-BoldMT" w:hAnsi="Arial-BoldMT" w:cs="Arial-BoldMT"/>
          <w:b/>
          <w:bCs/>
          <w:szCs w:val="24"/>
        </w:rPr>
      </w:pPr>
      <w:r w:rsidRPr="00570240">
        <w:rPr>
          <w:rFonts w:ascii="Arial-BoldMT" w:hAnsi="Arial-BoldMT" w:cs="Arial-BoldMT"/>
          <w:b/>
          <w:bCs/>
          <w:szCs w:val="24"/>
        </w:rPr>
        <w:t>Policy on Risk</w:t>
      </w:r>
    </w:p>
    <w:p w:rsidR="00C943E4" w:rsidRPr="00570240" w:rsidRDefault="00C943E4" w:rsidP="00C943E4">
      <w:pPr>
        <w:autoSpaceDE w:val="0"/>
        <w:autoSpaceDN w:val="0"/>
        <w:adjustRightInd w:val="0"/>
        <w:rPr>
          <w:rFonts w:ascii="ArialMT" w:hAnsi="ArialMT" w:cs="ArialMT"/>
          <w:szCs w:val="24"/>
        </w:rPr>
      </w:pPr>
    </w:p>
    <w:p w:rsidR="00C943E4" w:rsidRDefault="00C943E4" w:rsidP="00C943E4">
      <w:pPr>
        <w:autoSpaceDE w:val="0"/>
        <w:autoSpaceDN w:val="0"/>
        <w:adjustRightInd w:val="0"/>
        <w:rPr>
          <w:rFonts w:ascii="ArialMT" w:hAnsi="ArialMT" w:cs="ArialMT"/>
          <w:szCs w:val="24"/>
        </w:rPr>
      </w:pPr>
      <w:r w:rsidRPr="00570240">
        <w:rPr>
          <w:rFonts w:ascii="ArialMT" w:hAnsi="ArialMT" w:cs="ArialMT"/>
          <w:szCs w:val="24"/>
        </w:rPr>
        <w:t xml:space="preserve">The overriding objective of the Fund in respect of its investments is to </w:t>
      </w:r>
      <w:r>
        <w:rPr>
          <w:rFonts w:ascii="ArialMT" w:hAnsi="ArialMT" w:cs="ArialMT"/>
          <w:szCs w:val="24"/>
        </w:rPr>
        <w:t xml:space="preserve">strike a balance between </w:t>
      </w:r>
      <w:r w:rsidRPr="00570240">
        <w:rPr>
          <w:rFonts w:ascii="ArialMT" w:hAnsi="ArialMT" w:cs="ArialMT"/>
          <w:szCs w:val="24"/>
        </w:rPr>
        <w:t>minimis</w:t>
      </w:r>
      <w:r>
        <w:rPr>
          <w:rFonts w:ascii="ArialMT" w:hAnsi="ArialMT" w:cs="ArialMT"/>
          <w:szCs w:val="24"/>
        </w:rPr>
        <w:t>ing</w:t>
      </w:r>
      <w:r w:rsidRPr="00570240">
        <w:rPr>
          <w:rFonts w:ascii="ArialMT" w:hAnsi="ArialMT" w:cs="ArialMT"/>
          <w:szCs w:val="24"/>
        </w:rPr>
        <w:t xml:space="preserve"> risk and maximis</w:t>
      </w:r>
      <w:r>
        <w:rPr>
          <w:rFonts w:ascii="ArialMT" w:hAnsi="ArialMT" w:cs="ArialMT"/>
          <w:szCs w:val="24"/>
        </w:rPr>
        <w:t>ing</w:t>
      </w:r>
      <w:r w:rsidRPr="00570240">
        <w:rPr>
          <w:rFonts w:ascii="ArialMT" w:hAnsi="ArialMT" w:cs="ArialMT"/>
          <w:szCs w:val="24"/>
        </w:rPr>
        <w:t xml:space="preserve"> return. The structure of the investment management arrangements has been implemented in order to produce a balanced spread of risk for the portfolio. Within this the managers are regularly </w:t>
      </w:r>
      <w:r w:rsidR="0062759D">
        <w:rPr>
          <w:rFonts w:ascii="ArialMT" w:hAnsi="ArialMT" w:cs="ArialMT"/>
          <w:szCs w:val="24"/>
        </w:rPr>
        <w:t xml:space="preserve">challenged </w:t>
      </w:r>
      <w:r w:rsidR="0062759D" w:rsidRPr="00570240">
        <w:rPr>
          <w:rFonts w:ascii="ArialMT" w:hAnsi="ArialMT" w:cs="ArialMT"/>
          <w:szCs w:val="24"/>
        </w:rPr>
        <w:t>by</w:t>
      </w:r>
      <w:r w:rsidRPr="00570240">
        <w:rPr>
          <w:rFonts w:ascii="ArialMT" w:hAnsi="ArialMT" w:cs="ArialMT"/>
          <w:szCs w:val="24"/>
        </w:rPr>
        <w:t xml:space="preserve"> the Panel about the risk profile of the portfolios that they manage for the Fund.</w:t>
      </w:r>
    </w:p>
    <w:p w:rsidR="00396165" w:rsidRPr="00570240" w:rsidRDefault="00396165" w:rsidP="00C943E4">
      <w:pPr>
        <w:autoSpaceDE w:val="0"/>
        <w:autoSpaceDN w:val="0"/>
        <w:adjustRightInd w:val="0"/>
        <w:rPr>
          <w:rFonts w:ascii="ArialMT" w:hAnsi="ArialMT" w:cs="ArialMT"/>
          <w:szCs w:val="24"/>
        </w:rPr>
      </w:pPr>
    </w:p>
    <w:p w:rsidR="00C943E4" w:rsidRPr="009A3AFE" w:rsidRDefault="00C943E4" w:rsidP="00C943E4">
      <w:pPr>
        <w:autoSpaceDE w:val="0"/>
        <w:autoSpaceDN w:val="0"/>
        <w:adjustRightInd w:val="0"/>
        <w:rPr>
          <w:rFonts w:ascii="Arial-BoldMT" w:hAnsi="Arial-BoldMT" w:cs="Arial-BoldMT"/>
          <w:b/>
          <w:bCs/>
          <w:szCs w:val="24"/>
          <w:highlight w:val="yellow"/>
        </w:rPr>
      </w:pPr>
    </w:p>
    <w:p w:rsidR="00C943E4" w:rsidRPr="00993137" w:rsidRDefault="00C943E4" w:rsidP="00C943E4">
      <w:pPr>
        <w:autoSpaceDE w:val="0"/>
        <w:autoSpaceDN w:val="0"/>
        <w:adjustRightInd w:val="0"/>
        <w:rPr>
          <w:rFonts w:ascii="Arial-BoldMT" w:hAnsi="Arial-BoldMT" w:cs="Arial-BoldMT"/>
          <w:b/>
          <w:bCs/>
          <w:szCs w:val="24"/>
        </w:rPr>
      </w:pPr>
      <w:r w:rsidRPr="00993137">
        <w:rPr>
          <w:rFonts w:ascii="Arial-BoldMT" w:hAnsi="Arial-BoldMT" w:cs="Arial-BoldMT"/>
          <w:b/>
          <w:bCs/>
          <w:szCs w:val="24"/>
        </w:rPr>
        <w:t>Compliance with Myners Principles</w:t>
      </w:r>
    </w:p>
    <w:p w:rsidR="00C943E4" w:rsidRPr="00993137" w:rsidRDefault="00C943E4" w:rsidP="00C943E4">
      <w:pPr>
        <w:autoSpaceDE w:val="0"/>
        <w:autoSpaceDN w:val="0"/>
        <w:adjustRightInd w:val="0"/>
        <w:rPr>
          <w:rFonts w:ascii="ArialMT" w:hAnsi="ArialMT" w:cs="ArialMT"/>
          <w:szCs w:val="24"/>
        </w:rPr>
      </w:pPr>
    </w:p>
    <w:p w:rsidR="00C943E4" w:rsidRDefault="00C943E4" w:rsidP="00C943E4">
      <w:pPr>
        <w:autoSpaceDE w:val="0"/>
        <w:autoSpaceDN w:val="0"/>
        <w:adjustRightInd w:val="0"/>
        <w:rPr>
          <w:rFonts w:ascii="ArialMT" w:hAnsi="ArialMT" w:cs="ArialMT"/>
          <w:szCs w:val="24"/>
        </w:rPr>
      </w:pPr>
      <w:r w:rsidRPr="00993137">
        <w:rPr>
          <w:rFonts w:ascii="ArialMT" w:hAnsi="ArialMT" w:cs="ArialMT"/>
          <w:szCs w:val="24"/>
        </w:rPr>
        <w:t>The Fund is compliant with the Myners Principles, details of which can be found in the Statement of Investment Principles.</w:t>
      </w:r>
      <w:r w:rsidR="00396165">
        <w:rPr>
          <w:rFonts w:ascii="ArialMT" w:hAnsi="ArialMT" w:cs="ArialMT"/>
          <w:szCs w:val="24"/>
        </w:rPr>
        <w:t xml:space="preserve"> </w:t>
      </w:r>
      <w:hyperlink r:id="rId27" w:history="1">
        <w:r w:rsidR="00396165" w:rsidRPr="00396165">
          <w:rPr>
            <w:rStyle w:val="Hyperlink"/>
            <w:rFonts w:ascii="ArialMT" w:hAnsi="ArialMT" w:cs="ArialMT"/>
            <w:szCs w:val="24"/>
          </w:rPr>
          <w:t>Statement of Investment Principles</w:t>
        </w:r>
      </w:hyperlink>
    </w:p>
    <w:p w:rsidR="00C943E4" w:rsidRDefault="00C943E4" w:rsidP="00C943E4">
      <w:pPr>
        <w:autoSpaceDE w:val="0"/>
        <w:autoSpaceDN w:val="0"/>
        <w:adjustRightInd w:val="0"/>
        <w:rPr>
          <w:rFonts w:ascii="ArialMT" w:hAnsi="ArialMT" w:cs="ArialMT"/>
          <w:szCs w:val="24"/>
        </w:rPr>
      </w:pPr>
    </w:p>
    <w:p w:rsidR="009A3AFE" w:rsidRDefault="009A3AFE" w:rsidP="00EB4217">
      <w:pPr>
        <w:autoSpaceDE w:val="0"/>
        <w:autoSpaceDN w:val="0"/>
        <w:adjustRightInd w:val="0"/>
        <w:rPr>
          <w:rFonts w:ascii="ArialMT" w:hAnsi="ArialMT" w:cs="ArialMT"/>
          <w:szCs w:val="24"/>
        </w:rPr>
      </w:pPr>
    </w:p>
    <w:p w:rsidR="009A3AFE" w:rsidRDefault="009A3AFE" w:rsidP="00EB4217">
      <w:pPr>
        <w:autoSpaceDE w:val="0"/>
        <w:autoSpaceDN w:val="0"/>
        <w:adjustRightInd w:val="0"/>
        <w:rPr>
          <w:rFonts w:ascii="ArialMT" w:hAnsi="ArialMT" w:cs="ArialMT"/>
          <w:szCs w:val="24"/>
        </w:rPr>
      </w:pPr>
    </w:p>
    <w:p w:rsidR="009A3AFE" w:rsidRDefault="009A3AFE" w:rsidP="00EB4217">
      <w:pPr>
        <w:autoSpaceDE w:val="0"/>
        <w:autoSpaceDN w:val="0"/>
        <w:adjustRightInd w:val="0"/>
        <w:rPr>
          <w:rFonts w:ascii="ArialMT" w:hAnsi="ArialMT" w:cs="ArialMT"/>
          <w:szCs w:val="24"/>
        </w:rPr>
      </w:pPr>
    </w:p>
    <w:p w:rsidR="009A3AFE" w:rsidRDefault="009A3AFE" w:rsidP="00EB4217">
      <w:pPr>
        <w:autoSpaceDE w:val="0"/>
        <w:autoSpaceDN w:val="0"/>
        <w:adjustRightInd w:val="0"/>
        <w:rPr>
          <w:rFonts w:ascii="ArialMT" w:hAnsi="ArialMT" w:cs="ArialMT"/>
          <w:szCs w:val="24"/>
        </w:rPr>
      </w:pPr>
    </w:p>
    <w:p w:rsidR="009A3AFE" w:rsidRDefault="009A3AFE" w:rsidP="00EB4217">
      <w:pPr>
        <w:autoSpaceDE w:val="0"/>
        <w:autoSpaceDN w:val="0"/>
        <w:adjustRightInd w:val="0"/>
        <w:rPr>
          <w:rFonts w:ascii="ArialMT" w:hAnsi="ArialMT" w:cs="ArialMT"/>
          <w:szCs w:val="24"/>
        </w:rPr>
      </w:pPr>
    </w:p>
    <w:p w:rsidR="009A3AFE" w:rsidRDefault="009A3AFE" w:rsidP="00EB4217">
      <w:pPr>
        <w:autoSpaceDE w:val="0"/>
        <w:autoSpaceDN w:val="0"/>
        <w:adjustRightInd w:val="0"/>
        <w:rPr>
          <w:rFonts w:ascii="ArialMT" w:hAnsi="ArialMT" w:cs="ArialMT"/>
          <w:szCs w:val="24"/>
        </w:rPr>
      </w:pPr>
    </w:p>
    <w:p w:rsidR="009A3AFE" w:rsidRDefault="009A3AFE" w:rsidP="00EB4217">
      <w:pPr>
        <w:autoSpaceDE w:val="0"/>
        <w:autoSpaceDN w:val="0"/>
        <w:adjustRightInd w:val="0"/>
        <w:rPr>
          <w:rFonts w:ascii="ArialMT" w:hAnsi="ArialMT" w:cs="ArialMT"/>
          <w:szCs w:val="24"/>
        </w:rPr>
      </w:pPr>
    </w:p>
    <w:p w:rsidR="009A3AFE" w:rsidRDefault="009A3AFE" w:rsidP="00EB4217">
      <w:pPr>
        <w:autoSpaceDE w:val="0"/>
        <w:autoSpaceDN w:val="0"/>
        <w:adjustRightInd w:val="0"/>
        <w:rPr>
          <w:rFonts w:ascii="ArialMT" w:hAnsi="ArialMT" w:cs="ArialMT"/>
          <w:szCs w:val="24"/>
        </w:rPr>
      </w:pPr>
    </w:p>
    <w:p w:rsidR="009A3AFE" w:rsidRDefault="009A3AFE" w:rsidP="00EB4217">
      <w:pPr>
        <w:autoSpaceDE w:val="0"/>
        <w:autoSpaceDN w:val="0"/>
        <w:adjustRightInd w:val="0"/>
        <w:rPr>
          <w:rFonts w:ascii="ArialMT" w:hAnsi="ArialMT" w:cs="ArialMT"/>
          <w:szCs w:val="24"/>
        </w:rPr>
      </w:pPr>
    </w:p>
    <w:p w:rsidR="009A3AFE" w:rsidRDefault="009A3AFE" w:rsidP="00EB4217">
      <w:pPr>
        <w:autoSpaceDE w:val="0"/>
        <w:autoSpaceDN w:val="0"/>
        <w:adjustRightInd w:val="0"/>
        <w:rPr>
          <w:rFonts w:ascii="ArialMT" w:hAnsi="ArialMT" w:cs="ArialMT"/>
          <w:szCs w:val="24"/>
        </w:rPr>
      </w:pPr>
    </w:p>
    <w:p w:rsidR="009A3AFE" w:rsidRDefault="009A3AFE" w:rsidP="00EB4217">
      <w:pPr>
        <w:autoSpaceDE w:val="0"/>
        <w:autoSpaceDN w:val="0"/>
        <w:adjustRightInd w:val="0"/>
        <w:rPr>
          <w:rFonts w:ascii="ArialMT" w:hAnsi="ArialMT" w:cs="ArialMT"/>
          <w:szCs w:val="24"/>
        </w:rPr>
      </w:pPr>
    </w:p>
    <w:p w:rsidR="009A3AFE" w:rsidRDefault="009A3AFE" w:rsidP="00EB4217">
      <w:pPr>
        <w:autoSpaceDE w:val="0"/>
        <w:autoSpaceDN w:val="0"/>
        <w:adjustRightInd w:val="0"/>
        <w:rPr>
          <w:rFonts w:ascii="ArialMT" w:hAnsi="ArialMT" w:cs="ArialMT"/>
          <w:szCs w:val="24"/>
        </w:rPr>
      </w:pPr>
    </w:p>
    <w:p w:rsidR="009A3AFE" w:rsidRDefault="009A3AFE" w:rsidP="00EB4217">
      <w:pPr>
        <w:autoSpaceDE w:val="0"/>
        <w:autoSpaceDN w:val="0"/>
        <w:adjustRightInd w:val="0"/>
        <w:rPr>
          <w:rFonts w:ascii="ArialMT" w:hAnsi="ArialMT" w:cs="ArialMT"/>
          <w:szCs w:val="24"/>
        </w:rPr>
      </w:pPr>
    </w:p>
    <w:p w:rsidR="009A3AFE" w:rsidRDefault="009A3AFE" w:rsidP="00EB4217">
      <w:pPr>
        <w:autoSpaceDE w:val="0"/>
        <w:autoSpaceDN w:val="0"/>
        <w:adjustRightInd w:val="0"/>
        <w:rPr>
          <w:rFonts w:ascii="ArialMT" w:hAnsi="ArialMT" w:cs="ArialMT"/>
          <w:szCs w:val="24"/>
        </w:rPr>
      </w:pPr>
    </w:p>
    <w:p w:rsidR="009A3AFE" w:rsidRDefault="009A3AFE" w:rsidP="00EB4217">
      <w:pPr>
        <w:autoSpaceDE w:val="0"/>
        <w:autoSpaceDN w:val="0"/>
        <w:adjustRightInd w:val="0"/>
        <w:rPr>
          <w:rFonts w:ascii="ArialMT" w:hAnsi="ArialMT" w:cs="ArialMT"/>
          <w:szCs w:val="24"/>
          <w:highlight w:val="yellow"/>
        </w:rPr>
      </w:pPr>
    </w:p>
    <w:p w:rsidR="009A3AFE" w:rsidRPr="00B5731E" w:rsidRDefault="009A3AFE" w:rsidP="009A3AFE">
      <w:pPr>
        <w:rPr>
          <w:b/>
          <w:sz w:val="28"/>
          <w:szCs w:val="28"/>
        </w:rPr>
      </w:pPr>
      <w:r>
        <w:rPr>
          <w:rFonts w:ascii="ArialMT" w:hAnsi="ArialMT" w:cs="ArialMT"/>
          <w:szCs w:val="24"/>
          <w:highlight w:val="yellow"/>
        </w:rPr>
        <w:br w:type="page"/>
      </w:r>
      <w:r w:rsidRPr="00B5731E">
        <w:rPr>
          <w:b/>
          <w:sz w:val="28"/>
          <w:szCs w:val="28"/>
        </w:rPr>
        <w:lastRenderedPageBreak/>
        <w:t>A</w:t>
      </w:r>
      <w:r>
        <w:rPr>
          <w:b/>
          <w:sz w:val="28"/>
          <w:szCs w:val="28"/>
        </w:rPr>
        <w:t>ccounts of the Fund</w:t>
      </w:r>
    </w:p>
    <w:p w:rsidR="009A3AFE" w:rsidRDefault="009A3AFE" w:rsidP="009A3AFE">
      <w:pPr>
        <w:rPr>
          <w:b/>
          <w:szCs w:val="24"/>
          <w:highlight w:val="yellow"/>
        </w:rPr>
      </w:pPr>
    </w:p>
    <w:p w:rsidR="009A3AFE" w:rsidRPr="00166665" w:rsidRDefault="009A3AFE" w:rsidP="009A3AFE">
      <w:pPr>
        <w:rPr>
          <w:b/>
          <w:szCs w:val="24"/>
          <w:highlight w:val="yellow"/>
        </w:rPr>
      </w:pPr>
    </w:p>
    <w:p w:rsidR="009A3AFE" w:rsidRPr="00166665" w:rsidRDefault="009A3AFE" w:rsidP="009A3AFE">
      <w:pPr>
        <w:rPr>
          <w:b/>
          <w:szCs w:val="24"/>
        </w:rPr>
      </w:pPr>
      <w:r w:rsidRPr="00166665">
        <w:rPr>
          <w:b/>
          <w:szCs w:val="24"/>
        </w:rPr>
        <w:t>Responsibilities for the Statement of Accounts</w:t>
      </w:r>
    </w:p>
    <w:p w:rsidR="009A3AFE" w:rsidRPr="00166665" w:rsidRDefault="009A3AFE" w:rsidP="009A3AFE">
      <w:pPr>
        <w:rPr>
          <w:szCs w:val="24"/>
        </w:rPr>
      </w:pPr>
    </w:p>
    <w:p w:rsidR="009A3AFE" w:rsidRPr="00166665" w:rsidRDefault="009A3AFE" w:rsidP="009A3AFE">
      <w:pPr>
        <w:pStyle w:val="Heading4"/>
        <w:rPr>
          <w:szCs w:val="24"/>
          <w:u w:val="none"/>
        </w:rPr>
      </w:pPr>
      <w:r w:rsidRPr="00166665">
        <w:rPr>
          <w:szCs w:val="24"/>
          <w:u w:val="none"/>
        </w:rPr>
        <w:t>The Responsibilities of the Administering Authority</w:t>
      </w:r>
    </w:p>
    <w:p w:rsidR="009A3AFE" w:rsidRDefault="009A3AFE" w:rsidP="009A3AFE">
      <w:pPr>
        <w:rPr>
          <w:szCs w:val="24"/>
        </w:rPr>
      </w:pPr>
    </w:p>
    <w:p w:rsidR="009A3AFE" w:rsidRPr="00166665" w:rsidRDefault="009A3AFE" w:rsidP="009A3AFE">
      <w:pPr>
        <w:rPr>
          <w:szCs w:val="24"/>
        </w:rPr>
      </w:pPr>
      <w:r w:rsidRPr="00166665">
        <w:rPr>
          <w:szCs w:val="24"/>
        </w:rPr>
        <w:t>The Administering Authority is required:</w:t>
      </w:r>
    </w:p>
    <w:p w:rsidR="009A3AFE" w:rsidRPr="00166665" w:rsidRDefault="009A3AFE" w:rsidP="009A3AFE">
      <w:pPr>
        <w:rPr>
          <w:szCs w:val="24"/>
        </w:rPr>
      </w:pPr>
    </w:p>
    <w:p w:rsidR="009A3AFE" w:rsidRPr="00166665" w:rsidRDefault="009A3AFE" w:rsidP="009A3AFE">
      <w:pPr>
        <w:numPr>
          <w:ilvl w:val="0"/>
          <w:numId w:val="1"/>
        </w:numPr>
        <w:jc w:val="both"/>
        <w:rPr>
          <w:szCs w:val="24"/>
        </w:rPr>
      </w:pPr>
      <w:r w:rsidRPr="00166665">
        <w:rPr>
          <w:szCs w:val="24"/>
        </w:rPr>
        <w:t xml:space="preserve">To make arrangements for the proper administration of the financial affairs of the Lancashire County Pension Fund (Pension Fund), and to ensure that an officer has the responsibility for the administration of those affairs.  For Lancashire County Council, the respective officer is the </w:t>
      </w:r>
      <w:r>
        <w:rPr>
          <w:szCs w:val="24"/>
        </w:rPr>
        <w:t>County Treasurer</w:t>
      </w:r>
      <w:r w:rsidRPr="00166665">
        <w:rPr>
          <w:szCs w:val="24"/>
        </w:rPr>
        <w:t>, who is also the Treasurer to the Pension Fund;</w:t>
      </w:r>
    </w:p>
    <w:p w:rsidR="009A3AFE" w:rsidRPr="00166665" w:rsidRDefault="009A3AFE" w:rsidP="009A3AFE">
      <w:pPr>
        <w:jc w:val="both"/>
        <w:rPr>
          <w:szCs w:val="24"/>
        </w:rPr>
      </w:pPr>
    </w:p>
    <w:p w:rsidR="009A3AFE" w:rsidRPr="00166665" w:rsidRDefault="009A3AFE" w:rsidP="009A3AFE">
      <w:pPr>
        <w:numPr>
          <w:ilvl w:val="0"/>
          <w:numId w:val="1"/>
        </w:numPr>
        <w:jc w:val="both"/>
        <w:rPr>
          <w:szCs w:val="24"/>
        </w:rPr>
      </w:pPr>
      <w:r w:rsidRPr="00166665">
        <w:rPr>
          <w:szCs w:val="24"/>
        </w:rPr>
        <w:t>To manage its affairs to secure economic, efficient and effective use of resources, and to safeguard its assets.</w:t>
      </w:r>
    </w:p>
    <w:p w:rsidR="009A3AFE" w:rsidRPr="00166665" w:rsidRDefault="009A3AFE" w:rsidP="009A3AFE">
      <w:pPr>
        <w:rPr>
          <w:szCs w:val="24"/>
        </w:rPr>
      </w:pPr>
    </w:p>
    <w:p w:rsidR="009A3AFE" w:rsidRPr="00166665" w:rsidRDefault="009A3AFE" w:rsidP="009A3AFE">
      <w:pPr>
        <w:pStyle w:val="Heading4"/>
        <w:rPr>
          <w:szCs w:val="24"/>
          <w:u w:val="none"/>
        </w:rPr>
      </w:pPr>
      <w:r w:rsidRPr="00166665">
        <w:rPr>
          <w:szCs w:val="24"/>
          <w:u w:val="none"/>
        </w:rPr>
        <w:t>The Responsibilities of the Treasurer to the Pension Fund</w:t>
      </w:r>
    </w:p>
    <w:p w:rsidR="009A3AFE" w:rsidRDefault="009A3AFE" w:rsidP="009A3AFE">
      <w:pPr>
        <w:jc w:val="both"/>
        <w:rPr>
          <w:szCs w:val="24"/>
        </w:rPr>
      </w:pPr>
    </w:p>
    <w:p w:rsidR="009A3AFE" w:rsidRPr="00166665" w:rsidRDefault="009A3AFE" w:rsidP="009A3AFE">
      <w:pPr>
        <w:jc w:val="both"/>
        <w:rPr>
          <w:szCs w:val="24"/>
        </w:rPr>
      </w:pPr>
      <w:r w:rsidRPr="00166665">
        <w:rPr>
          <w:szCs w:val="24"/>
        </w:rPr>
        <w:t>The Treasurer to the Pension Fund is responsible for the preparation of the Pension Fund’s statement of accounts.  In accordance with the CIPFA Code of Practice on Local Authority Accounting in Great Britain (the Code), the statement is required to present fairly the financial position of the Pension Fund at the accounting date, and its income and expenditure for the year then ended.</w:t>
      </w:r>
    </w:p>
    <w:p w:rsidR="009A3AFE" w:rsidRPr="00166665" w:rsidRDefault="009A3AFE" w:rsidP="009A3AFE">
      <w:pPr>
        <w:rPr>
          <w:szCs w:val="24"/>
        </w:rPr>
      </w:pPr>
    </w:p>
    <w:p w:rsidR="009A3AFE" w:rsidRPr="00166665" w:rsidRDefault="009A3AFE" w:rsidP="009A3AFE">
      <w:pPr>
        <w:rPr>
          <w:szCs w:val="24"/>
        </w:rPr>
      </w:pPr>
      <w:r w:rsidRPr="00166665">
        <w:rPr>
          <w:szCs w:val="24"/>
        </w:rPr>
        <w:t>In preparing this statement of accounts, the Treasurer to the Pension Fund has:</w:t>
      </w:r>
    </w:p>
    <w:p w:rsidR="009A3AFE" w:rsidRPr="00166665" w:rsidRDefault="009A3AFE" w:rsidP="009A3AFE">
      <w:pPr>
        <w:rPr>
          <w:szCs w:val="24"/>
        </w:rPr>
      </w:pPr>
    </w:p>
    <w:p w:rsidR="009A3AFE" w:rsidRPr="00166665" w:rsidRDefault="009A3AFE" w:rsidP="009A3AFE">
      <w:pPr>
        <w:numPr>
          <w:ilvl w:val="0"/>
          <w:numId w:val="1"/>
        </w:numPr>
        <w:rPr>
          <w:szCs w:val="24"/>
        </w:rPr>
      </w:pPr>
      <w:r w:rsidRPr="00166665">
        <w:rPr>
          <w:szCs w:val="24"/>
        </w:rPr>
        <w:t>Selected suitable accounting policies and then applied them consistently;</w:t>
      </w:r>
      <w:r w:rsidRPr="00166665">
        <w:rPr>
          <w:szCs w:val="24"/>
        </w:rPr>
        <w:br/>
      </w:r>
    </w:p>
    <w:p w:rsidR="009A3AFE" w:rsidRPr="00166665" w:rsidRDefault="009A3AFE" w:rsidP="009A3AFE">
      <w:pPr>
        <w:numPr>
          <w:ilvl w:val="0"/>
          <w:numId w:val="1"/>
        </w:numPr>
        <w:rPr>
          <w:szCs w:val="24"/>
        </w:rPr>
      </w:pPr>
      <w:r w:rsidRPr="00166665">
        <w:rPr>
          <w:szCs w:val="24"/>
        </w:rPr>
        <w:t>Made judgements and estimates that were reasonable and prudent;</w:t>
      </w:r>
      <w:r w:rsidRPr="00166665">
        <w:rPr>
          <w:szCs w:val="24"/>
        </w:rPr>
        <w:br/>
      </w:r>
    </w:p>
    <w:p w:rsidR="009A3AFE" w:rsidRPr="00166665" w:rsidRDefault="009A3AFE" w:rsidP="009A3AFE">
      <w:pPr>
        <w:numPr>
          <w:ilvl w:val="0"/>
          <w:numId w:val="1"/>
        </w:numPr>
        <w:rPr>
          <w:szCs w:val="24"/>
        </w:rPr>
      </w:pPr>
      <w:r w:rsidRPr="00166665">
        <w:rPr>
          <w:szCs w:val="24"/>
        </w:rPr>
        <w:t>Complied with the Code.</w:t>
      </w:r>
    </w:p>
    <w:p w:rsidR="009A3AFE" w:rsidRPr="00166665" w:rsidRDefault="009A3AFE" w:rsidP="009A3AFE">
      <w:pPr>
        <w:rPr>
          <w:szCs w:val="24"/>
        </w:rPr>
      </w:pPr>
    </w:p>
    <w:p w:rsidR="009A3AFE" w:rsidRPr="00166665" w:rsidRDefault="009A3AFE" w:rsidP="009A3AFE">
      <w:pPr>
        <w:rPr>
          <w:szCs w:val="24"/>
        </w:rPr>
      </w:pPr>
      <w:r w:rsidRPr="00166665">
        <w:rPr>
          <w:szCs w:val="24"/>
        </w:rPr>
        <w:t>In addition, the Treasurer to the Pension Fund has:</w:t>
      </w:r>
    </w:p>
    <w:p w:rsidR="009A3AFE" w:rsidRPr="00166665" w:rsidRDefault="009A3AFE" w:rsidP="009A3AFE">
      <w:pPr>
        <w:rPr>
          <w:szCs w:val="24"/>
        </w:rPr>
      </w:pPr>
    </w:p>
    <w:p w:rsidR="009A3AFE" w:rsidRPr="00166665" w:rsidRDefault="009A3AFE" w:rsidP="009A3AFE">
      <w:pPr>
        <w:numPr>
          <w:ilvl w:val="0"/>
          <w:numId w:val="1"/>
        </w:numPr>
        <w:rPr>
          <w:szCs w:val="24"/>
        </w:rPr>
      </w:pPr>
      <w:r w:rsidRPr="00166665">
        <w:rPr>
          <w:szCs w:val="24"/>
        </w:rPr>
        <w:t>Kept proper accounting records which were up to date;</w:t>
      </w:r>
    </w:p>
    <w:p w:rsidR="009A3AFE" w:rsidRPr="00166665" w:rsidRDefault="009A3AFE" w:rsidP="009A3AFE">
      <w:pPr>
        <w:pStyle w:val="Header"/>
        <w:rPr>
          <w:szCs w:val="24"/>
        </w:rPr>
      </w:pPr>
    </w:p>
    <w:p w:rsidR="009A3AFE" w:rsidRPr="00166665" w:rsidRDefault="009A3AFE" w:rsidP="009A3AFE">
      <w:pPr>
        <w:numPr>
          <w:ilvl w:val="0"/>
          <w:numId w:val="1"/>
        </w:numPr>
        <w:rPr>
          <w:szCs w:val="24"/>
        </w:rPr>
      </w:pPr>
      <w:r w:rsidRPr="00166665">
        <w:rPr>
          <w:szCs w:val="24"/>
        </w:rPr>
        <w:t>Taken responsible steps for the prevention and detection of fraud and other irregularities.</w:t>
      </w:r>
    </w:p>
    <w:p w:rsidR="009A3AFE" w:rsidRPr="00166665" w:rsidRDefault="009A3AFE" w:rsidP="009A3AFE">
      <w:pPr>
        <w:pStyle w:val="Heading5"/>
        <w:spacing w:line="360" w:lineRule="auto"/>
        <w:jc w:val="center"/>
        <w:rPr>
          <w:rFonts w:ascii="Arial" w:hAnsi="Arial"/>
          <w:szCs w:val="24"/>
        </w:rPr>
      </w:pPr>
    </w:p>
    <w:p w:rsidR="009A3AFE" w:rsidRPr="00166665" w:rsidRDefault="009A3AFE" w:rsidP="009A3AFE">
      <w:pPr>
        <w:rPr>
          <w:szCs w:val="24"/>
        </w:rPr>
      </w:pPr>
      <w:r w:rsidRPr="00166665">
        <w:rPr>
          <w:szCs w:val="24"/>
        </w:rPr>
        <w:t>The Statement of Accounts relate to the financial year ended 31 March 201</w:t>
      </w:r>
      <w:r>
        <w:rPr>
          <w:szCs w:val="24"/>
        </w:rPr>
        <w:t>2</w:t>
      </w:r>
      <w:r w:rsidRPr="00166665">
        <w:rPr>
          <w:szCs w:val="24"/>
        </w:rPr>
        <w:t xml:space="preserve"> and include the Fund Account and the Statement of Net Assets which are prepared in accordance with standard accounting practice as outlined in the notes to the accounts of the Pension Fund.</w:t>
      </w:r>
    </w:p>
    <w:p w:rsidR="009A3AFE" w:rsidRPr="00166665" w:rsidRDefault="009A3AFE" w:rsidP="009A3AFE">
      <w:pPr>
        <w:rPr>
          <w:szCs w:val="24"/>
        </w:rPr>
      </w:pPr>
    </w:p>
    <w:p w:rsidR="009A3AFE" w:rsidRDefault="009A3AFE" w:rsidP="009A3AFE">
      <w:pPr>
        <w:rPr>
          <w:szCs w:val="24"/>
        </w:rPr>
      </w:pPr>
    </w:p>
    <w:p w:rsidR="009A3AFE" w:rsidRPr="00166665" w:rsidRDefault="009A3AFE" w:rsidP="009A3AFE">
      <w:pPr>
        <w:rPr>
          <w:szCs w:val="24"/>
        </w:rPr>
      </w:pPr>
    </w:p>
    <w:p w:rsidR="009A3AFE" w:rsidRPr="00166665" w:rsidRDefault="009A3AFE" w:rsidP="009A3AFE">
      <w:pPr>
        <w:rPr>
          <w:szCs w:val="24"/>
        </w:rPr>
      </w:pPr>
      <w:r>
        <w:rPr>
          <w:szCs w:val="24"/>
        </w:rPr>
        <w:t>Gill Kilpatrick</w:t>
      </w:r>
      <w:r w:rsidRPr="00166665">
        <w:rPr>
          <w:szCs w:val="24"/>
        </w:rPr>
        <w:t xml:space="preserve"> CPFA</w:t>
      </w:r>
    </w:p>
    <w:p w:rsidR="009A3AFE" w:rsidRPr="00166665" w:rsidRDefault="009A3AFE" w:rsidP="009A3AFE">
      <w:pPr>
        <w:rPr>
          <w:szCs w:val="24"/>
        </w:rPr>
      </w:pPr>
      <w:r w:rsidRPr="00166665">
        <w:rPr>
          <w:szCs w:val="24"/>
        </w:rPr>
        <w:t>Treasurer to the Lancashire County Pension Fund</w:t>
      </w:r>
    </w:p>
    <w:p w:rsidR="009A3AFE" w:rsidRPr="00166665" w:rsidRDefault="000B6591" w:rsidP="009A3AFE">
      <w:pPr>
        <w:rPr>
          <w:szCs w:val="24"/>
        </w:rPr>
      </w:pPr>
      <w:r>
        <w:rPr>
          <w:szCs w:val="24"/>
        </w:rPr>
        <w:t>26 September</w:t>
      </w:r>
      <w:r w:rsidR="009A3AFE">
        <w:rPr>
          <w:szCs w:val="24"/>
        </w:rPr>
        <w:t xml:space="preserve"> 2012</w:t>
      </w:r>
    </w:p>
    <w:p w:rsidR="00EB4217" w:rsidRPr="00EE6902" w:rsidRDefault="00B54AFB" w:rsidP="00EB4217">
      <w:pPr>
        <w:autoSpaceDE w:val="0"/>
        <w:autoSpaceDN w:val="0"/>
        <w:adjustRightInd w:val="0"/>
        <w:rPr>
          <w:rFonts w:ascii="ArialMT" w:hAnsi="ArialMT" w:cs="ArialMT"/>
          <w:szCs w:val="24"/>
        </w:rPr>
      </w:pPr>
      <w:r w:rsidRPr="00EE6902">
        <w:rPr>
          <w:rFonts w:ascii="ArialMT" w:hAnsi="ArialMT" w:cs="ArialMT"/>
          <w:szCs w:val="24"/>
        </w:rPr>
        <w:lastRenderedPageBreak/>
        <w:t xml:space="preserve"> </w:t>
      </w:r>
    </w:p>
    <w:p w:rsidR="00FC18CC" w:rsidRPr="00EE6902" w:rsidRDefault="00FC18CC" w:rsidP="004038DF">
      <w:pPr>
        <w:rPr>
          <w:b/>
          <w:sz w:val="28"/>
          <w:szCs w:val="28"/>
        </w:rPr>
      </w:pPr>
    </w:p>
    <w:p w:rsidR="009A3AFE" w:rsidRPr="005364C6" w:rsidRDefault="009A3AFE" w:rsidP="009A3AFE">
      <w:pPr>
        <w:jc w:val="center"/>
        <w:rPr>
          <w:rFonts w:cs="Arial"/>
          <w:b/>
          <w:bCs/>
          <w:color w:val="000000"/>
          <w:sz w:val="26"/>
          <w:szCs w:val="22"/>
        </w:rPr>
      </w:pPr>
      <w:r w:rsidRPr="005364C6">
        <w:rPr>
          <w:rFonts w:cs="Arial"/>
          <w:b/>
          <w:bCs/>
          <w:color w:val="000000"/>
          <w:sz w:val="26"/>
          <w:szCs w:val="22"/>
        </w:rPr>
        <w:t>Fund Account</w:t>
      </w:r>
    </w:p>
    <w:p w:rsidR="009A3AFE" w:rsidRDefault="009A3AFE" w:rsidP="009A3AFE">
      <w:pPr>
        <w:pStyle w:val="Heading5"/>
        <w:spacing w:line="360" w:lineRule="auto"/>
        <w:jc w:val="center"/>
        <w:rPr>
          <w:rFonts w:ascii="Arial" w:hAnsi="Arial"/>
          <w:szCs w:val="24"/>
          <w:u w:val="none"/>
        </w:rPr>
      </w:pPr>
    </w:p>
    <w:p w:rsidR="009A3AFE" w:rsidRPr="00C142FC" w:rsidRDefault="009A3AFE" w:rsidP="009A3AFE"/>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64"/>
        <w:gridCol w:w="1936"/>
        <w:gridCol w:w="1493"/>
        <w:gridCol w:w="401"/>
        <w:gridCol w:w="1490"/>
      </w:tblGrid>
      <w:tr w:rsidR="009A3AFE" w:rsidTr="009A3AFE">
        <w:tc>
          <w:tcPr>
            <w:tcW w:w="4208" w:type="dxa"/>
          </w:tcPr>
          <w:p w:rsidR="009A3AFE" w:rsidRDefault="009A3AFE" w:rsidP="009A3AFE">
            <w:pPr>
              <w:rPr>
                <w:b/>
                <w:szCs w:val="24"/>
              </w:rPr>
            </w:pPr>
          </w:p>
          <w:p w:rsidR="009A3AFE" w:rsidRDefault="009A3AFE" w:rsidP="009A3AFE">
            <w:pPr>
              <w:jc w:val="right"/>
              <w:rPr>
                <w:b/>
                <w:szCs w:val="24"/>
              </w:rPr>
            </w:pPr>
          </w:p>
        </w:tc>
        <w:tc>
          <w:tcPr>
            <w:tcW w:w="2126" w:type="dxa"/>
          </w:tcPr>
          <w:p w:rsidR="009A3AFE" w:rsidRDefault="009A3AFE" w:rsidP="009A3AFE">
            <w:pPr>
              <w:rPr>
                <w:b/>
                <w:szCs w:val="24"/>
              </w:rPr>
            </w:pPr>
          </w:p>
          <w:p w:rsidR="009A3AFE" w:rsidRDefault="009A3AFE" w:rsidP="009A3AFE">
            <w:pPr>
              <w:jc w:val="center"/>
              <w:rPr>
                <w:b/>
                <w:szCs w:val="24"/>
              </w:rPr>
            </w:pPr>
            <w:r>
              <w:rPr>
                <w:b/>
                <w:szCs w:val="24"/>
              </w:rPr>
              <w:t>Note</w:t>
            </w:r>
          </w:p>
        </w:tc>
        <w:tc>
          <w:tcPr>
            <w:tcW w:w="1559" w:type="dxa"/>
          </w:tcPr>
          <w:p w:rsidR="009A3AFE" w:rsidRDefault="009A3AFE" w:rsidP="009A3AFE">
            <w:pPr>
              <w:jc w:val="right"/>
              <w:rPr>
                <w:b/>
                <w:szCs w:val="24"/>
              </w:rPr>
            </w:pPr>
            <w:r>
              <w:rPr>
                <w:b/>
                <w:szCs w:val="24"/>
              </w:rPr>
              <w:t>2011/12</w:t>
            </w:r>
          </w:p>
          <w:p w:rsidR="009A3AFE" w:rsidRDefault="009A3AFE" w:rsidP="009A3AFE">
            <w:pPr>
              <w:jc w:val="right"/>
              <w:rPr>
                <w:b/>
                <w:szCs w:val="24"/>
              </w:rPr>
            </w:pPr>
            <w:r>
              <w:rPr>
                <w:b/>
                <w:szCs w:val="24"/>
              </w:rPr>
              <w:t>£m</w:t>
            </w:r>
          </w:p>
        </w:tc>
        <w:tc>
          <w:tcPr>
            <w:tcW w:w="430" w:type="dxa"/>
            <w:tcBorders>
              <w:right w:val="single" w:sz="4" w:space="0" w:color="FFFFFF" w:themeColor="background1"/>
            </w:tcBorders>
          </w:tcPr>
          <w:p w:rsidR="009A3AFE" w:rsidRDefault="009A3AFE" w:rsidP="009A3AFE">
            <w:pPr>
              <w:jc w:val="right"/>
              <w:rPr>
                <w:b/>
                <w:szCs w:val="24"/>
              </w:rPr>
            </w:pPr>
          </w:p>
          <w:p w:rsidR="009A3AFE" w:rsidRDefault="009A3AFE" w:rsidP="009A3AFE">
            <w:pPr>
              <w:jc w:val="right"/>
              <w:rPr>
                <w:b/>
                <w:szCs w:val="24"/>
              </w:rPr>
            </w:pPr>
          </w:p>
        </w:tc>
        <w:tc>
          <w:tcPr>
            <w:tcW w:w="1555" w:type="dxa"/>
            <w:tcBorders>
              <w:left w:val="single" w:sz="4" w:space="0" w:color="FFFFFF" w:themeColor="background1"/>
            </w:tcBorders>
          </w:tcPr>
          <w:p w:rsidR="009A3AFE" w:rsidRDefault="009A3AFE" w:rsidP="009A3AFE">
            <w:pPr>
              <w:jc w:val="right"/>
              <w:rPr>
                <w:b/>
                <w:szCs w:val="24"/>
              </w:rPr>
            </w:pPr>
            <w:r>
              <w:rPr>
                <w:b/>
                <w:szCs w:val="24"/>
              </w:rPr>
              <w:t>2010/11</w:t>
            </w:r>
          </w:p>
          <w:p w:rsidR="009A3AFE" w:rsidRDefault="009A3AFE" w:rsidP="009A3AFE">
            <w:pPr>
              <w:jc w:val="right"/>
              <w:rPr>
                <w:b/>
                <w:szCs w:val="24"/>
              </w:rPr>
            </w:pPr>
            <w:r>
              <w:rPr>
                <w:b/>
                <w:szCs w:val="24"/>
              </w:rPr>
              <w:t>£m</w:t>
            </w:r>
          </w:p>
          <w:p w:rsidR="009A3AFE" w:rsidRDefault="009A3AFE" w:rsidP="009A3AFE">
            <w:pPr>
              <w:jc w:val="right"/>
              <w:rPr>
                <w:b/>
                <w:szCs w:val="24"/>
              </w:rPr>
            </w:pPr>
          </w:p>
        </w:tc>
      </w:tr>
      <w:tr w:rsidR="009A3AFE" w:rsidRPr="009643EB" w:rsidTr="009A3AFE">
        <w:tc>
          <w:tcPr>
            <w:tcW w:w="4208" w:type="dxa"/>
          </w:tcPr>
          <w:p w:rsidR="009A3AFE" w:rsidRDefault="009A3AFE" w:rsidP="009A3AFE">
            <w:pPr>
              <w:spacing w:after="120"/>
              <w:rPr>
                <w:b/>
                <w:szCs w:val="24"/>
              </w:rPr>
            </w:pPr>
            <w:r>
              <w:rPr>
                <w:b/>
                <w:szCs w:val="24"/>
              </w:rPr>
              <w:t>Dealing with members, employers and others directly involved in the fund</w:t>
            </w:r>
          </w:p>
        </w:tc>
        <w:tc>
          <w:tcPr>
            <w:tcW w:w="2126" w:type="dxa"/>
          </w:tcPr>
          <w:p w:rsidR="009A3AFE" w:rsidRPr="009643EB" w:rsidRDefault="009A3AFE" w:rsidP="009A3AFE">
            <w:pPr>
              <w:spacing w:after="120"/>
              <w:jc w:val="right"/>
              <w:rPr>
                <w:szCs w:val="24"/>
              </w:rPr>
            </w:pPr>
          </w:p>
        </w:tc>
        <w:tc>
          <w:tcPr>
            <w:tcW w:w="1559" w:type="dxa"/>
          </w:tcPr>
          <w:p w:rsidR="009A3AFE" w:rsidRPr="009643EB" w:rsidRDefault="009A3AFE" w:rsidP="009A3AFE">
            <w:pPr>
              <w:spacing w:after="120"/>
              <w:jc w:val="right"/>
              <w:rPr>
                <w:szCs w:val="24"/>
              </w:rPr>
            </w:pPr>
          </w:p>
        </w:tc>
        <w:tc>
          <w:tcPr>
            <w:tcW w:w="430" w:type="dxa"/>
            <w:tcBorders>
              <w:right w:val="single" w:sz="4" w:space="0" w:color="FFFFFF" w:themeColor="background1"/>
            </w:tcBorders>
          </w:tcPr>
          <w:p w:rsidR="009A3AFE" w:rsidRPr="009643EB" w:rsidRDefault="009A3AFE" w:rsidP="009A3AFE">
            <w:pPr>
              <w:spacing w:after="120"/>
              <w:jc w:val="right"/>
              <w:rPr>
                <w:szCs w:val="24"/>
              </w:rPr>
            </w:pPr>
          </w:p>
        </w:tc>
        <w:tc>
          <w:tcPr>
            <w:tcW w:w="1555" w:type="dxa"/>
            <w:tcBorders>
              <w:left w:val="single" w:sz="4" w:space="0" w:color="FFFFFF" w:themeColor="background1"/>
            </w:tcBorders>
          </w:tcPr>
          <w:p w:rsidR="009A3AFE" w:rsidRPr="009643EB" w:rsidRDefault="009A3AFE" w:rsidP="009A3AFE">
            <w:pPr>
              <w:spacing w:after="120"/>
              <w:jc w:val="right"/>
              <w:rPr>
                <w:szCs w:val="24"/>
              </w:rPr>
            </w:pPr>
          </w:p>
        </w:tc>
      </w:tr>
      <w:tr w:rsidR="009A3AFE" w:rsidRPr="009643EB" w:rsidTr="009A3AFE">
        <w:tc>
          <w:tcPr>
            <w:tcW w:w="4208" w:type="dxa"/>
          </w:tcPr>
          <w:p w:rsidR="009A3AFE" w:rsidRPr="009643EB" w:rsidRDefault="009A3AFE" w:rsidP="009A3AFE">
            <w:pPr>
              <w:spacing w:after="120"/>
              <w:rPr>
                <w:szCs w:val="24"/>
              </w:rPr>
            </w:pPr>
            <w:r>
              <w:rPr>
                <w:szCs w:val="24"/>
              </w:rPr>
              <w:t>Contributions</w:t>
            </w:r>
          </w:p>
        </w:tc>
        <w:tc>
          <w:tcPr>
            <w:tcW w:w="2126" w:type="dxa"/>
          </w:tcPr>
          <w:p w:rsidR="009A3AFE" w:rsidRPr="009643EB" w:rsidRDefault="009A3AFE" w:rsidP="009A3AFE">
            <w:pPr>
              <w:tabs>
                <w:tab w:val="left" w:pos="1026"/>
              </w:tabs>
              <w:spacing w:after="120"/>
              <w:jc w:val="center"/>
              <w:rPr>
                <w:szCs w:val="24"/>
              </w:rPr>
            </w:pPr>
            <w:r>
              <w:rPr>
                <w:szCs w:val="24"/>
              </w:rPr>
              <w:t>6</w:t>
            </w:r>
          </w:p>
        </w:tc>
        <w:tc>
          <w:tcPr>
            <w:tcW w:w="1559" w:type="dxa"/>
          </w:tcPr>
          <w:p w:rsidR="009A3AFE" w:rsidRPr="009643EB" w:rsidRDefault="009A3AFE" w:rsidP="009A3AFE">
            <w:pPr>
              <w:spacing w:after="120"/>
              <w:jc w:val="right"/>
              <w:rPr>
                <w:szCs w:val="24"/>
              </w:rPr>
            </w:pPr>
            <w:r>
              <w:rPr>
                <w:szCs w:val="24"/>
              </w:rPr>
              <w:t>209.3</w:t>
            </w:r>
          </w:p>
        </w:tc>
        <w:tc>
          <w:tcPr>
            <w:tcW w:w="430" w:type="dxa"/>
            <w:tcBorders>
              <w:right w:val="single" w:sz="4" w:space="0" w:color="FFFFFF" w:themeColor="background1"/>
            </w:tcBorders>
          </w:tcPr>
          <w:p w:rsidR="009A3AFE" w:rsidRPr="009643EB" w:rsidRDefault="009A3AFE" w:rsidP="009A3AFE">
            <w:pPr>
              <w:spacing w:after="120"/>
              <w:jc w:val="right"/>
              <w:rPr>
                <w:szCs w:val="24"/>
              </w:rPr>
            </w:pPr>
          </w:p>
        </w:tc>
        <w:tc>
          <w:tcPr>
            <w:tcW w:w="1555" w:type="dxa"/>
            <w:tcBorders>
              <w:left w:val="single" w:sz="4" w:space="0" w:color="FFFFFF" w:themeColor="background1"/>
            </w:tcBorders>
          </w:tcPr>
          <w:p w:rsidR="009A3AFE" w:rsidRPr="009643EB" w:rsidRDefault="009A3AFE" w:rsidP="009A3AFE">
            <w:pPr>
              <w:spacing w:after="120"/>
              <w:jc w:val="right"/>
              <w:rPr>
                <w:szCs w:val="24"/>
              </w:rPr>
            </w:pPr>
            <w:r>
              <w:rPr>
                <w:szCs w:val="24"/>
              </w:rPr>
              <w:t>227.2</w:t>
            </w:r>
          </w:p>
        </w:tc>
      </w:tr>
      <w:tr w:rsidR="009A3AFE" w:rsidRPr="009643EB" w:rsidTr="009A3AFE">
        <w:tc>
          <w:tcPr>
            <w:tcW w:w="4208" w:type="dxa"/>
          </w:tcPr>
          <w:p w:rsidR="009A3AFE" w:rsidRDefault="009A3AFE" w:rsidP="009A3AFE">
            <w:pPr>
              <w:spacing w:after="120"/>
              <w:rPr>
                <w:szCs w:val="24"/>
              </w:rPr>
            </w:pPr>
            <w:r>
              <w:rPr>
                <w:szCs w:val="24"/>
              </w:rPr>
              <w:t>Transfers in</w:t>
            </w:r>
          </w:p>
        </w:tc>
        <w:tc>
          <w:tcPr>
            <w:tcW w:w="2126" w:type="dxa"/>
          </w:tcPr>
          <w:p w:rsidR="009A3AFE" w:rsidRPr="009643EB" w:rsidRDefault="009A3AFE" w:rsidP="009A3AFE">
            <w:pPr>
              <w:tabs>
                <w:tab w:val="left" w:pos="1026"/>
              </w:tabs>
              <w:spacing w:after="120"/>
              <w:jc w:val="center"/>
              <w:rPr>
                <w:szCs w:val="24"/>
              </w:rPr>
            </w:pPr>
            <w:r>
              <w:rPr>
                <w:szCs w:val="24"/>
              </w:rPr>
              <w:t>7</w:t>
            </w:r>
          </w:p>
        </w:tc>
        <w:tc>
          <w:tcPr>
            <w:tcW w:w="1559" w:type="dxa"/>
            <w:tcBorders>
              <w:bottom w:val="single" w:sz="18" w:space="0" w:color="auto"/>
            </w:tcBorders>
          </w:tcPr>
          <w:p w:rsidR="009A3AFE" w:rsidRPr="009643EB" w:rsidRDefault="009A3AFE" w:rsidP="009A3AFE">
            <w:pPr>
              <w:spacing w:after="120"/>
              <w:jc w:val="right"/>
              <w:rPr>
                <w:szCs w:val="24"/>
              </w:rPr>
            </w:pPr>
            <w:r>
              <w:rPr>
                <w:szCs w:val="24"/>
              </w:rPr>
              <w:t>11.1</w:t>
            </w:r>
          </w:p>
        </w:tc>
        <w:tc>
          <w:tcPr>
            <w:tcW w:w="430" w:type="dxa"/>
            <w:tcBorders>
              <w:right w:val="single" w:sz="4" w:space="0" w:color="FFFFFF" w:themeColor="background1"/>
            </w:tcBorders>
          </w:tcPr>
          <w:p w:rsidR="009A3AFE" w:rsidRPr="009643EB" w:rsidRDefault="009A3AFE" w:rsidP="009A3AFE">
            <w:pPr>
              <w:spacing w:after="120"/>
              <w:jc w:val="right"/>
              <w:rPr>
                <w:szCs w:val="24"/>
              </w:rPr>
            </w:pPr>
          </w:p>
        </w:tc>
        <w:tc>
          <w:tcPr>
            <w:tcW w:w="1555" w:type="dxa"/>
            <w:tcBorders>
              <w:left w:val="single" w:sz="4" w:space="0" w:color="FFFFFF" w:themeColor="background1"/>
              <w:bottom w:val="single" w:sz="18" w:space="0" w:color="auto"/>
            </w:tcBorders>
          </w:tcPr>
          <w:p w:rsidR="009A3AFE" w:rsidRDefault="009A3AFE" w:rsidP="009A3AFE">
            <w:pPr>
              <w:spacing w:after="120"/>
              <w:jc w:val="right"/>
              <w:rPr>
                <w:szCs w:val="24"/>
              </w:rPr>
            </w:pPr>
            <w:r>
              <w:rPr>
                <w:szCs w:val="24"/>
              </w:rPr>
              <w:t>15.6</w:t>
            </w:r>
          </w:p>
        </w:tc>
      </w:tr>
      <w:tr w:rsidR="009A3AFE" w:rsidRPr="009643EB" w:rsidTr="009A3AFE">
        <w:tc>
          <w:tcPr>
            <w:tcW w:w="4208" w:type="dxa"/>
          </w:tcPr>
          <w:p w:rsidR="009A3AFE" w:rsidRDefault="009A3AFE" w:rsidP="009A3AFE">
            <w:pPr>
              <w:spacing w:after="120"/>
              <w:rPr>
                <w:szCs w:val="24"/>
              </w:rPr>
            </w:pPr>
          </w:p>
        </w:tc>
        <w:tc>
          <w:tcPr>
            <w:tcW w:w="2126" w:type="dxa"/>
          </w:tcPr>
          <w:p w:rsidR="009A3AFE" w:rsidRDefault="009A3AFE" w:rsidP="009A3AFE">
            <w:pPr>
              <w:spacing w:after="120"/>
              <w:jc w:val="right"/>
              <w:rPr>
                <w:szCs w:val="24"/>
              </w:rPr>
            </w:pPr>
          </w:p>
        </w:tc>
        <w:tc>
          <w:tcPr>
            <w:tcW w:w="1559" w:type="dxa"/>
            <w:tcBorders>
              <w:top w:val="single" w:sz="18" w:space="0" w:color="auto"/>
              <w:bottom w:val="single" w:sz="18" w:space="0" w:color="auto"/>
            </w:tcBorders>
          </w:tcPr>
          <w:p w:rsidR="009A3AFE" w:rsidRPr="009643EB" w:rsidRDefault="009A3AFE" w:rsidP="009A3AFE">
            <w:pPr>
              <w:spacing w:after="120"/>
              <w:jc w:val="right"/>
              <w:rPr>
                <w:szCs w:val="24"/>
              </w:rPr>
            </w:pPr>
            <w:r>
              <w:rPr>
                <w:szCs w:val="24"/>
              </w:rPr>
              <w:t>220.4</w:t>
            </w:r>
          </w:p>
        </w:tc>
        <w:tc>
          <w:tcPr>
            <w:tcW w:w="430" w:type="dxa"/>
            <w:tcBorders>
              <w:right w:val="single" w:sz="4" w:space="0" w:color="FFFFFF" w:themeColor="background1"/>
            </w:tcBorders>
          </w:tcPr>
          <w:p w:rsidR="009A3AFE" w:rsidRPr="009643EB" w:rsidRDefault="009A3AFE" w:rsidP="009A3AFE">
            <w:pPr>
              <w:spacing w:after="120"/>
              <w:jc w:val="right"/>
              <w:rPr>
                <w:szCs w:val="24"/>
              </w:rPr>
            </w:pPr>
          </w:p>
        </w:tc>
        <w:tc>
          <w:tcPr>
            <w:tcW w:w="1555" w:type="dxa"/>
            <w:tcBorders>
              <w:top w:val="single" w:sz="18" w:space="0" w:color="auto"/>
              <w:left w:val="single" w:sz="4" w:space="0" w:color="FFFFFF" w:themeColor="background1"/>
              <w:bottom w:val="single" w:sz="18" w:space="0" w:color="auto"/>
            </w:tcBorders>
          </w:tcPr>
          <w:p w:rsidR="009A3AFE" w:rsidRDefault="009A3AFE" w:rsidP="009A3AFE">
            <w:pPr>
              <w:spacing w:after="120"/>
              <w:jc w:val="right"/>
              <w:rPr>
                <w:szCs w:val="24"/>
              </w:rPr>
            </w:pPr>
            <w:r>
              <w:rPr>
                <w:szCs w:val="24"/>
              </w:rPr>
              <w:t>242.8</w:t>
            </w:r>
          </w:p>
        </w:tc>
      </w:tr>
      <w:tr w:rsidR="009A3AFE" w:rsidRPr="009643EB" w:rsidTr="009A3AFE">
        <w:tc>
          <w:tcPr>
            <w:tcW w:w="4208" w:type="dxa"/>
          </w:tcPr>
          <w:p w:rsidR="009A3AFE" w:rsidRDefault="009A3AFE" w:rsidP="009A3AFE">
            <w:pPr>
              <w:spacing w:after="120"/>
              <w:rPr>
                <w:szCs w:val="24"/>
              </w:rPr>
            </w:pPr>
            <w:r>
              <w:rPr>
                <w:szCs w:val="24"/>
              </w:rPr>
              <w:t>Benefits</w:t>
            </w:r>
          </w:p>
        </w:tc>
        <w:tc>
          <w:tcPr>
            <w:tcW w:w="2126" w:type="dxa"/>
          </w:tcPr>
          <w:p w:rsidR="009A3AFE" w:rsidRPr="009643EB" w:rsidRDefault="009A3AFE" w:rsidP="009A3AFE">
            <w:pPr>
              <w:tabs>
                <w:tab w:val="left" w:pos="1026"/>
              </w:tabs>
              <w:spacing w:after="120"/>
              <w:jc w:val="center"/>
              <w:rPr>
                <w:szCs w:val="24"/>
              </w:rPr>
            </w:pPr>
            <w:r>
              <w:rPr>
                <w:szCs w:val="24"/>
              </w:rPr>
              <w:t>8</w:t>
            </w:r>
          </w:p>
        </w:tc>
        <w:tc>
          <w:tcPr>
            <w:tcW w:w="1559" w:type="dxa"/>
            <w:tcBorders>
              <w:top w:val="single" w:sz="18" w:space="0" w:color="auto"/>
            </w:tcBorders>
          </w:tcPr>
          <w:p w:rsidR="009A3AFE" w:rsidRPr="009643EB" w:rsidRDefault="009A3AFE" w:rsidP="009A3AFE">
            <w:pPr>
              <w:spacing w:after="120"/>
              <w:jc w:val="right"/>
              <w:rPr>
                <w:szCs w:val="24"/>
              </w:rPr>
            </w:pPr>
            <w:r>
              <w:rPr>
                <w:szCs w:val="24"/>
              </w:rPr>
              <w:t>219.1</w:t>
            </w:r>
          </w:p>
        </w:tc>
        <w:tc>
          <w:tcPr>
            <w:tcW w:w="430" w:type="dxa"/>
            <w:tcBorders>
              <w:right w:val="single" w:sz="4" w:space="0" w:color="FFFFFF" w:themeColor="background1"/>
            </w:tcBorders>
          </w:tcPr>
          <w:p w:rsidR="009A3AFE" w:rsidRPr="009643EB" w:rsidRDefault="009A3AFE" w:rsidP="009A3AFE">
            <w:pPr>
              <w:spacing w:after="120"/>
              <w:jc w:val="right"/>
              <w:rPr>
                <w:szCs w:val="24"/>
              </w:rPr>
            </w:pPr>
          </w:p>
        </w:tc>
        <w:tc>
          <w:tcPr>
            <w:tcW w:w="1555" w:type="dxa"/>
            <w:tcBorders>
              <w:top w:val="single" w:sz="18" w:space="0" w:color="auto"/>
              <w:left w:val="single" w:sz="4" w:space="0" w:color="FFFFFF" w:themeColor="background1"/>
            </w:tcBorders>
          </w:tcPr>
          <w:p w:rsidR="009A3AFE" w:rsidRDefault="009A3AFE" w:rsidP="009A3AFE">
            <w:pPr>
              <w:spacing w:after="120"/>
              <w:jc w:val="right"/>
              <w:rPr>
                <w:szCs w:val="24"/>
              </w:rPr>
            </w:pPr>
            <w:r>
              <w:rPr>
                <w:szCs w:val="24"/>
              </w:rPr>
              <w:t>214.5</w:t>
            </w:r>
          </w:p>
        </w:tc>
      </w:tr>
      <w:tr w:rsidR="009A3AFE" w:rsidRPr="009643EB" w:rsidTr="009A3AFE">
        <w:tc>
          <w:tcPr>
            <w:tcW w:w="4208" w:type="dxa"/>
          </w:tcPr>
          <w:p w:rsidR="009A3AFE" w:rsidRDefault="009A3AFE" w:rsidP="009A3AFE">
            <w:pPr>
              <w:spacing w:after="120"/>
              <w:rPr>
                <w:szCs w:val="24"/>
              </w:rPr>
            </w:pPr>
            <w:r>
              <w:rPr>
                <w:szCs w:val="24"/>
              </w:rPr>
              <w:t>Payments to and on account of leavers</w:t>
            </w:r>
          </w:p>
          <w:p w:rsidR="009A3AFE" w:rsidRDefault="009A3AFE" w:rsidP="009A3AFE">
            <w:pPr>
              <w:spacing w:after="120"/>
              <w:rPr>
                <w:szCs w:val="24"/>
              </w:rPr>
            </w:pPr>
            <w:r>
              <w:rPr>
                <w:szCs w:val="24"/>
              </w:rPr>
              <w:t xml:space="preserve">Administrative expenses       </w:t>
            </w:r>
          </w:p>
          <w:p w:rsidR="009A3AFE" w:rsidRDefault="009A3AFE" w:rsidP="009A3AFE">
            <w:pPr>
              <w:spacing w:after="120"/>
              <w:rPr>
                <w:szCs w:val="24"/>
              </w:rPr>
            </w:pPr>
          </w:p>
        </w:tc>
        <w:tc>
          <w:tcPr>
            <w:tcW w:w="2126" w:type="dxa"/>
          </w:tcPr>
          <w:p w:rsidR="009A3AFE" w:rsidRDefault="009A3AFE" w:rsidP="009A3AFE">
            <w:pPr>
              <w:tabs>
                <w:tab w:val="left" w:pos="1026"/>
              </w:tabs>
              <w:spacing w:after="120"/>
              <w:jc w:val="center"/>
              <w:rPr>
                <w:szCs w:val="24"/>
              </w:rPr>
            </w:pPr>
            <w:r>
              <w:rPr>
                <w:szCs w:val="24"/>
              </w:rPr>
              <w:t>9</w:t>
            </w:r>
          </w:p>
          <w:p w:rsidR="009A3AFE" w:rsidRDefault="009A3AFE" w:rsidP="009A3AFE">
            <w:pPr>
              <w:tabs>
                <w:tab w:val="left" w:pos="1026"/>
              </w:tabs>
              <w:spacing w:after="120"/>
              <w:jc w:val="center"/>
              <w:rPr>
                <w:szCs w:val="24"/>
              </w:rPr>
            </w:pPr>
          </w:p>
          <w:p w:rsidR="009A3AFE" w:rsidRPr="009643EB" w:rsidRDefault="009A3AFE" w:rsidP="009A3AFE">
            <w:pPr>
              <w:tabs>
                <w:tab w:val="left" w:pos="1026"/>
              </w:tabs>
              <w:spacing w:after="120"/>
              <w:jc w:val="center"/>
              <w:rPr>
                <w:szCs w:val="24"/>
              </w:rPr>
            </w:pPr>
            <w:r>
              <w:rPr>
                <w:szCs w:val="24"/>
              </w:rPr>
              <w:t>10</w:t>
            </w:r>
          </w:p>
        </w:tc>
        <w:tc>
          <w:tcPr>
            <w:tcW w:w="1559" w:type="dxa"/>
            <w:tcBorders>
              <w:bottom w:val="single" w:sz="18" w:space="0" w:color="auto"/>
            </w:tcBorders>
          </w:tcPr>
          <w:p w:rsidR="009A3AFE" w:rsidRDefault="009A3AFE" w:rsidP="009A3AFE">
            <w:pPr>
              <w:jc w:val="right"/>
              <w:rPr>
                <w:szCs w:val="24"/>
              </w:rPr>
            </w:pPr>
            <w:r>
              <w:rPr>
                <w:szCs w:val="24"/>
              </w:rPr>
              <w:t>13.7</w:t>
            </w:r>
          </w:p>
          <w:p w:rsidR="009A3AFE" w:rsidRDefault="009A3AFE" w:rsidP="009A3AFE">
            <w:pPr>
              <w:jc w:val="right"/>
              <w:rPr>
                <w:szCs w:val="24"/>
              </w:rPr>
            </w:pPr>
          </w:p>
          <w:p w:rsidR="009A3AFE" w:rsidRDefault="009A3AFE" w:rsidP="009A3AFE">
            <w:pPr>
              <w:jc w:val="right"/>
              <w:rPr>
                <w:szCs w:val="24"/>
              </w:rPr>
            </w:pPr>
          </w:p>
          <w:p w:rsidR="009A3AFE" w:rsidRPr="009643EB" w:rsidRDefault="009A3AFE" w:rsidP="009A3AFE">
            <w:pPr>
              <w:jc w:val="right"/>
              <w:rPr>
                <w:szCs w:val="24"/>
              </w:rPr>
            </w:pPr>
            <w:r>
              <w:rPr>
                <w:szCs w:val="24"/>
              </w:rPr>
              <w:t>3.8</w:t>
            </w:r>
          </w:p>
        </w:tc>
        <w:tc>
          <w:tcPr>
            <w:tcW w:w="430" w:type="dxa"/>
            <w:tcBorders>
              <w:right w:val="single" w:sz="4" w:space="0" w:color="FFFFFF" w:themeColor="background1"/>
            </w:tcBorders>
          </w:tcPr>
          <w:p w:rsidR="009A3AFE" w:rsidRPr="009643EB" w:rsidRDefault="009A3AFE" w:rsidP="009A3AFE">
            <w:pPr>
              <w:spacing w:after="120"/>
              <w:jc w:val="right"/>
              <w:rPr>
                <w:szCs w:val="24"/>
              </w:rPr>
            </w:pPr>
          </w:p>
        </w:tc>
        <w:tc>
          <w:tcPr>
            <w:tcW w:w="1555" w:type="dxa"/>
            <w:tcBorders>
              <w:left w:val="single" w:sz="4" w:space="0" w:color="FFFFFF" w:themeColor="background1"/>
              <w:bottom w:val="single" w:sz="18" w:space="0" w:color="auto"/>
            </w:tcBorders>
          </w:tcPr>
          <w:p w:rsidR="009A3AFE" w:rsidRDefault="009A3AFE" w:rsidP="009A3AFE">
            <w:pPr>
              <w:jc w:val="right"/>
              <w:rPr>
                <w:szCs w:val="24"/>
              </w:rPr>
            </w:pPr>
            <w:r>
              <w:rPr>
                <w:szCs w:val="24"/>
              </w:rPr>
              <w:t>12.8</w:t>
            </w:r>
          </w:p>
          <w:p w:rsidR="009A3AFE" w:rsidRDefault="009A3AFE" w:rsidP="009A3AFE">
            <w:pPr>
              <w:jc w:val="right"/>
              <w:rPr>
                <w:szCs w:val="24"/>
              </w:rPr>
            </w:pPr>
          </w:p>
          <w:p w:rsidR="009A3AFE" w:rsidRDefault="009A3AFE" w:rsidP="009A3AFE">
            <w:pPr>
              <w:jc w:val="right"/>
              <w:rPr>
                <w:szCs w:val="24"/>
              </w:rPr>
            </w:pPr>
          </w:p>
          <w:p w:rsidR="009A3AFE" w:rsidRDefault="009A3AFE" w:rsidP="009A3AFE">
            <w:pPr>
              <w:jc w:val="right"/>
              <w:rPr>
                <w:szCs w:val="24"/>
              </w:rPr>
            </w:pPr>
            <w:r>
              <w:rPr>
                <w:szCs w:val="24"/>
              </w:rPr>
              <w:t>3.6</w:t>
            </w:r>
          </w:p>
        </w:tc>
      </w:tr>
      <w:tr w:rsidR="009A3AFE" w:rsidRPr="009643EB" w:rsidTr="009A3AFE">
        <w:tc>
          <w:tcPr>
            <w:tcW w:w="4208" w:type="dxa"/>
          </w:tcPr>
          <w:p w:rsidR="009A3AFE" w:rsidRDefault="009A3AFE" w:rsidP="009A3AFE">
            <w:pPr>
              <w:spacing w:after="120"/>
              <w:rPr>
                <w:szCs w:val="24"/>
              </w:rPr>
            </w:pPr>
          </w:p>
        </w:tc>
        <w:tc>
          <w:tcPr>
            <w:tcW w:w="2126" w:type="dxa"/>
          </w:tcPr>
          <w:p w:rsidR="009A3AFE" w:rsidRDefault="009A3AFE" w:rsidP="009A3AFE">
            <w:pPr>
              <w:spacing w:after="120"/>
              <w:jc w:val="right"/>
              <w:rPr>
                <w:szCs w:val="24"/>
              </w:rPr>
            </w:pPr>
          </w:p>
        </w:tc>
        <w:tc>
          <w:tcPr>
            <w:tcW w:w="1559" w:type="dxa"/>
            <w:tcBorders>
              <w:top w:val="single" w:sz="18" w:space="0" w:color="auto"/>
              <w:bottom w:val="single" w:sz="18" w:space="0" w:color="auto"/>
            </w:tcBorders>
          </w:tcPr>
          <w:p w:rsidR="009A3AFE" w:rsidRPr="009643EB" w:rsidRDefault="009A3AFE" w:rsidP="009A3AFE">
            <w:pPr>
              <w:spacing w:after="120"/>
              <w:jc w:val="right"/>
              <w:rPr>
                <w:szCs w:val="24"/>
              </w:rPr>
            </w:pPr>
            <w:r>
              <w:rPr>
                <w:szCs w:val="24"/>
              </w:rPr>
              <w:t>236.6</w:t>
            </w:r>
          </w:p>
        </w:tc>
        <w:tc>
          <w:tcPr>
            <w:tcW w:w="430" w:type="dxa"/>
            <w:tcBorders>
              <w:right w:val="single" w:sz="4" w:space="0" w:color="FFFFFF" w:themeColor="background1"/>
            </w:tcBorders>
          </w:tcPr>
          <w:p w:rsidR="009A3AFE" w:rsidRPr="009643EB" w:rsidRDefault="009A3AFE" w:rsidP="009A3AFE">
            <w:pPr>
              <w:spacing w:after="120"/>
              <w:jc w:val="right"/>
              <w:rPr>
                <w:szCs w:val="24"/>
              </w:rPr>
            </w:pPr>
          </w:p>
        </w:tc>
        <w:tc>
          <w:tcPr>
            <w:tcW w:w="1555" w:type="dxa"/>
            <w:tcBorders>
              <w:top w:val="single" w:sz="18" w:space="0" w:color="auto"/>
              <w:left w:val="single" w:sz="4" w:space="0" w:color="FFFFFF" w:themeColor="background1"/>
              <w:bottom w:val="single" w:sz="18" w:space="0" w:color="auto"/>
            </w:tcBorders>
          </w:tcPr>
          <w:p w:rsidR="009A3AFE" w:rsidRDefault="009A3AFE" w:rsidP="009A3AFE">
            <w:pPr>
              <w:spacing w:after="120"/>
              <w:jc w:val="right"/>
              <w:rPr>
                <w:szCs w:val="24"/>
              </w:rPr>
            </w:pPr>
            <w:r>
              <w:rPr>
                <w:szCs w:val="24"/>
              </w:rPr>
              <w:t>230.9</w:t>
            </w:r>
          </w:p>
        </w:tc>
      </w:tr>
      <w:tr w:rsidR="009A3AFE" w:rsidRPr="005364C6" w:rsidTr="009A3AFE">
        <w:tc>
          <w:tcPr>
            <w:tcW w:w="4208" w:type="dxa"/>
          </w:tcPr>
          <w:p w:rsidR="009A3AFE" w:rsidRPr="005364C6" w:rsidRDefault="009A3AFE" w:rsidP="009A3AFE">
            <w:pPr>
              <w:spacing w:before="120"/>
              <w:rPr>
                <w:b/>
                <w:szCs w:val="24"/>
              </w:rPr>
            </w:pPr>
            <w:r w:rsidRPr="005364C6">
              <w:rPr>
                <w:b/>
                <w:szCs w:val="24"/>
              </w:rPr>
              <w:t>Net additions from dealings with members</w:t>
            </w:r>
          </w:p>
        </w:tc>
        <w:tc>
          <w:tcPr>
            <w:tcW w:w="2126" w:type="dxa"/>
          </w:tcPr>
          <w:p w:rsidR="009A3AFE" w:rsidRPr="005364C6" w:rsidRDefault="009A3AFE" w:rsidP="009A3AFE">
            <w:pPr>
              <w:spacing w:before="120"/>
              <w:jc w:val="right"/>
              <w:rPr>
                <w:b/>
                <w:szCs w:val="24"/>
              </w:rPr>
            </w:pPr>
          </w:p>
        </w:tc>
        <w:tc>
          <w:tcPr>
            <w:tcW w:w="1559" w:type="dxa"/>
            <w:tcBorders>
              <w:top w:val="single" w:sz="18" w:space="0" w:color="auto"/>
              <w:bottom w:val="single" w:sz="18" w:space="0" w:color="auto"/>
            </w:tcBorders>
          </w:tcPr>
          <w:p w:rsidR="009A3AFE" w:rsidRPr="005364C6" w:rsidRDefault="009A3AFE" w:rsidP="009A3AFE">
            <w:pPr>
              <w:spacing w:before="120"/>
              <w:jc w:val="right"/>
              <w:rPr>
                <w:b/>
                <w:szCs w:val="24"/>
              </w:rPr>
            </w:pPr>
            <w:r>
              <w:rPr>
                <w:b/>
                <w:szCs w:val="24"/>
              </w:rPr>
              <w:t>(16.2)</w:t>
            </w:r>
          </w:p>
        </w:tc>
        <w:tc>
          <w:tcPr>
            <w:tcW w:w="430" w:type="dxa"/>
            <w:tcBorders>
              <w:right w:val="single" w:sz="4" w:space="0" w:color="FFFFFF" w:themeColor="background1"/>
            </w:tcBorders>
          </w:tcPr>
          <w:p w:rsidR="009A3AFE" w:rsidRPr="005364C6" w:rsidRDefault="009A3AFE" w:rsidP="009A3AFE">
            <w:pPr>
              <w:spacing w:before="120"/>
              <w:jc w:val="right"/>
              <w:rPr>
                <w:b/>
                <w:szCs w:val="24"/>
              </w:rPr>
            </w:pPr>
          </w:p>
        </w:tc>
        <w:tc>
          <w:tcPr>
            <w:tcW w:w="1555" w:type="dxa"/>
            <w:tcBorders>
              <w:top w:val="single" w:sz="18" w:space="0" w:color="auto"/>
              <w:left w:val="single" w:sz="4" w:space="0" w:color="FFFFFF" w:themeColor="background1"/>
              <w:bottom w:val="single" w:sz="18" w:space="0" w:color="auto"/>
            </w:tcBorders>
          </w:tcPr>
          <w:p w:rsidR="009A3AFE" w:rsidRPr="005364C6" w:rsidRDefault="009A3AFE" w:rsidP="009A3AFE">
            <w:pPr>
              <w:spacing w:before="120"/>
              <w:jc w:val="right"/>
              <w:rPr>
                <w:b/>
                <w:szCs w:val="24"/>
              </w:rPr>
            </w:pPr>
            <w:r w:rsidRPr="005364C6">
              <w:rPr>
                <w:b/>
                <w:szCs w:val="24"/>
              </w:rPr>
              <w:t>11.9</w:t>
            </w:r>
          </w:p>
        </w:tc>
      </w:tr>
    </w:tbl>
    <w:p w:rsidR="009A3AFE" w:rsidRDefault="009A3AFE" w:rsidP="009A3AFE"/>
    <w:p w:rsidR="009A3AFE" w:rsidRDefault="009A3AFE" w:rsidP="009A3AFE"/>
    <w:p w:rsidR="009A3AFE" w:rsidRDefault="009A3AFE" w:rsidP="009A3AFE"/>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04"/>
        <w:gridCol w:w="1933"/>
        <w:gridCol w:w="1472"/>
        <w:gridCol w:w="406"/>
        <w:gridCol w:w="1469"/>
      </w:tblGrid>
      <w:tr w:rsidR="009A3AFE" w:rsidRPr="009643EB" w:rsidTr="009A3AFE">
        <w:tc>
          <w:tcPr>
            <w:tcW w:w="4208" w:type="dxa"/>
          </w:tcPr>
          <w:p w:rsidR="009A3AFE" w:rsidRDefault="009A3AFE" w:rsidP="009A3AFE">
            <w:pPr>
              <w:spacing w:after="120"/>
              <w:rPr>
                <w:b/>
                <w:szCs w:val="24"/>
              </w:rPr>
            </w:pPr>
            <w:r>
              <w:rPr>
                <w:b/>
                <w:szCs w:val="24"/>
              </w:rPr>
              <w:t>Return on investments</w:t>
            </w:r>
          </w:p>
        </w:tc>
        <w:tc>
          <w:tcPr>
            <w:tcW w:w="2126" w:type="dxa"/>
          </w:tcPr>
          <w:p w:rsidR="009A3AFE" w:rsidRPr="009643EB" w:rsidRDefault="009A3AFE" w:rsidP="009A3AFE">
            <w:pPr>
              <w:spacing w:after="120"/>
              <w:jc w:val="right"/>
              <w:rPr>
                <w:szCs w:val="24"/>
              </w:rPr>
            </w:pPr>
          </w:p>
        </w:tc>
        <w:tc>
          <w:tcPr>
            <w:tcW w:w="1559" w:type="dxa"/>
          </w:tcPr>
          <w:p w:rsidR="009A3AFE" w:rsidRPr="009643EB" w:rsidRDefault="009A3AFE" w:rsidP="009A3AFE">
            <w:pPr>
              <w:spacing w:after="120"/>
              <w:jc w:val="right"/>
              <w:rPr>
                <w:szCs w:val="24"/>
              </w:rPr>
            </w:pPr>
          </w:p>
        </w:tc>
        <w:tc>
          <w:tcPr>
            <w:tcW w:w="430" w:type="dxa"/>
            <w:tcBorders>
              <w:right w:val="single" w:sz="4" w:space="0" w:color="FFFFFF" w:themeColor="background1"/>
            </w:tcBorders>
          </w:tcPr>
          <w:p w:rsidR="009A3AFE" w:rsidRPr="009643EB" w:rsidRDefault="009A3AFE" w:rsidP="009A3AFE">
            <w:pPr>
              <w:spacing w:after="120"/>
              <w:jc w:val="right"/>
              <w:rPr>
                <w:szCs w:val="24"/>
              </w:rPr>
            </w:pPr>
          </w:p>
        </w:tc>
        <w:tc>
          <w:tcPr>
            <w:tcW w:w="1555" w:type="dxa"/>
            <w:tcBorders>
              <w:left w:val="single" w:sz="4" w:space="0" w:color="FFFFFF" w:themeColor="background1"/>
            </w:tcBorders>
          </w:tcPr>
          <w:p w:rsidR="009A3AFE" w:rsidRPr="009643EB" w:rsidRDefault="009A3AFE" w:rsidP="009A3AFE">
            <w:pPr>
              <w:spacing w:after="120"/>
              <w:jc w:val="right"/>
              <w:rPr>
                <w:szCs w:val="24"/>
              </w:rPr>
            </w:pPr>
          </w:p>
        </w:tc>
      </w:tr>
      <w:tr w:rsidR="009A3AFE" w:rsidRPr="009643EB" w:rsidTr="009A3AFE">
        <w:tc>
          <w:tcPr>
            <w:tcW w:w="4208" w:type="dxa"/>
          </w:tcPr>
          <w:p w:rsidR="009A3AFE" w:rsidRPr="009643EB" w:rsidRDefault="009A3AFE" w:rsidP="009A3AFE">
            <w:pPr>
              <w:spacing w:after="120"/>
              <w:rPr>
                <w:szCs w:val="24"/>
              </w:rPr>
            </w:pPr>
            <w:r>
              <w:rPr>
                <w:szCs w:val="24"/>
              </w:rPr>
              <w:t>Investment income</w:t>
            </w:r>
          </w:p>
        </w:tc>
        <w:tc>
          <w:tcPr>
            <w:tcW w:w="2126" w:type="dxa"/>
          </w:tcPr>
          <w:p w:rsidR="009A3AFE" w:rsidRPr="009643EB" w:rsidRDefault="009A3AFE" w:rsidP="009A3AFE">
            <w:pPr>
              <w:tabs>
                <w:tab w:val="left" w:pos="1026"/>
              </w:tabs>
              <w:spacing w:after="120"/>
              <w:jc w:val="center"/>
              <w:rPr>
                <w:szCs w:val="24"/>
              </w:rPr>
            </w:pPr>
            <w:r>
              <w:rPr>
                <w:szCs w:val="24"/>
              </w:rPr>
              <w:t>11</w:t>
            </w:r>
          </w:p>
        </w:tc>
        <w:tc>
          <w:tcPr>
            <w:tcW w:w="1559" w:type="dxa"/>
          </w:tcPr>
          <w:p w:rsidR="009A3AFE" w:rsidRPr="009643EB" w:rsidRDefault="009A3AFE" w:rsidP="009A3AFE">
            <w:pPr>
              <w:spacing w:after="120"/>
              <w:jc w:val="right"/>
              <w:rPr>
                <w:szCs w:val="24"/>
              </w:rPr>
            </w:pPr>
            <w:r>
              <w:rPr>
                <w:szCs w:val="24"/>
              </w:rPr>
              <w:t>118.8</w:t>
            </w:r>
          </w:p>
        </w:tc>
        <w:tc>
          <w:tcPr>
            <w:tcW w:w="430" w:type="dxa"/>
            <w:tcBorders>
              <w:right w:val="single" w:sz="4" w:space="0" w:color="FFFFFF" w:themeColor="background1"/>
            </w:tcBorders>
          </w:tcPr>
          <w:p w:rsidR="009A3AFE" w:rsidRPr="009643EB" w:rsidRDefault="009A3AFE" w:rsidP="009A3AFE">
            <w:pPr>
              <w:spacing w:after="120"/>
              <w:jc w:val="right"/>
              <w:rPr>
                <w:szCs w:val="24"/>
              </w:rPr>
            </w:pPr>
          </w:p>
        </w:tc>
        <w:tc>
          <w:tcPr>
            <w:tcW w:w="1555" w:type="dxa"/>
            <w:tcBorders>
              <w:left w:val="single" w:sz="4" w:space="0" w:color="FFFFFF" w:themeColor="background1"/>
            </w:tcBorders>
          </w:tcPr>
          <w:p w:rsidR="009A3AFE" w:rsidRPr="009643EB" w:rsidRDefault="009A3AFE" w:rsidP="009A3AFE">
            <w:pPr>
              <w:spacing w:after="120"/>
              <w:jc w:val="right"/>
              <w:rPr>
                <w:szCs w:val="24"/>
              </w:rPr>
            </w:pPr>
            <w:r>
              <w:rPr>
                <w:szCs w:val="24"/>
              </w:rPr>
              <w:t>89.3</w:t>
            </w:r>
          </w:p>
        </w:tc>
      </w:tr>
      <w:tr w:rsidR="009A3AFE" w:rsidRPr="009643EB" w:rsidTr="009A3AFE">
        <w:tc>
          <w:tcPr>
            <w:tcW w:w="4208" w:type="dxa"/>
          </w:tcPr>
          <w:p w:rsidR="009A3AFE" w:rsidRDefault="009A3AFE" w:rsidP="009A3AFE">
            <w:pPr>
              <w:spacing w:after="120"/>
              <w:rPr>
                <w:szCs w:val="24"/>
              </w:rPr>
            </w:pPr>
            <w:r>
              <w:rPr>
                <w:szCs w:val="24"/>
              </w:rPr>
              <w:t>Profit and loss on disposal of investments and change in market value of investments</w:t>
            </w:r>
          </w:p>
        </w:tc>
        <w:tc>
          <w:tcPr>
            <w:tcW w:w="2126" w:type="dxa"/>
          </w:tcPr>
          <w:p w:rsidR="009A3AFE" w:rsidRPr="009643EB" w:rsidRDefault="009A3AFE" w:rsidP="009A3AFE">
            <w:pPr>
              <w:tabs>
                <w:tab w:val="left" w:pos="1026"/>
              </w:tabs>
              <w:spacing w:after="120"/>
              <w:jc w:val="center"/>
              <w:rPr>
                <w:szCs w:val="24"/>
              </w:rPr>
            </w:pPr>
            <w:r w:rsidRPr="00440AB3">
              <w:rPr>
                <w:szCs w:val="24"/>
              </w:rPr>
              <w:t>1</w:t>
            </w:r>
            <w:r>
              <w:rPr>
                <w:szCs w:val="24"/>
              </w:rPr>
              <w:t>4</w:t>
            </w:r>
          </w:p>
        </w:tc>
        <w:tc>
          <w:tcPr>
            <w:tcW w:w="1559" w:type="dxa"/>
          </w:tcPr>
          <w:p w:rsidR="009A3AFE" w:rsidRPr="009643EB" w:rsidRDefault="009A3AFE" w:rsidP="009A3AFE">
            <w:pPr>
              <w:spacing w:after="120"/>
              <w:jc w:val="right"/>
              <w:rPr>
                <w:szCs w:val="24"/>
              </w:rPr>
            </w:pPr>
            <w:r>
              <w:rPr>
                <w:szCs w:val="24"/>
              </w:rPr>
              <w:t>(7.9)</w:t>
            </w:r>
          </w:p>
        </w:tc>
        <w:tc>
          <w:tcPr>
            <w:tcW w:w="430" w:type="dxa"/>
            <w:tcBorders>
              <w:right w:val="single" w:sz="4" w:space="0" w:color="FFFFFF" w:themeColor="background1"/>
            </w:tcBorders>
          </w:tcPr>
          <w:p w:rsidR="009A3AFE" w:rsidRPr="009643EB" w:rsidRDefault="009A3AFE" w:rsidP="009A3AFE">
            <w:pPr>
              <w:spacing w:after="120"/>
              <w:jc w:val="right"/>
              <w:rPr>
                <w:szCs w:val="24"/>
              </w:rPr>
            </w:pPr>
          </w:p>
        </w:tc>
        <w:tc>
          <w:tcPr>
            <w:tcW w:w="1555" w:type="dxa"/>
            <w:tcBorders>
              <w:left w:val="single" w:sz="4" w:space="0" w:color="FFFFFF" w:themeColor="background1"/>
            </w:tcBorders>
          </w:tcPr>
          <w:p w:rsidR="009A3AFE" w:rsidRDefault="009A3AFE" w:rsidP="009A3AFE">
            <w:pPr>
              <w:spacing w:after="120"/>
              <w:jc w:val="right"/>
              <w:rPr>
                <w:szCs w:val="24"/>
              </w:rPr>
            </w:pPr>
            <w:r>
              <w:rPr>
                <w:szCs w:val="24"/>
              </w:rPr>
              <w:t>238.8</w:t>
            </w:r>
          </w:p>
        </w:tc>
      </w:tr>
      <w:tr w:rsidR="009A3AFE" w:rsidRPr="009643EB" w:rsidTr="009A3AFE">
        <w:tc>
          <w:tcPr>
            <w:tcW w:w="4208" w:type="dxa"/>
          </w:tcPr>
          <w:p w:rsidR="009A3AFE" w:rsidRDefault="009A3AFE" w:rsidP="009A3AFE">
            <w:pPr>
              <w:spacing w:after="120"/>
              <w:rPr>
                <w:szCs w:val="24"/>
              </w:rPr>
            </w:pPr>
            <w:r>
              <w:rPr>
                <w:szCs w:val="24"/>
              </w:rPr>
              <w:t>Investment management expenses</w:t>
            </w:r>
          </w:p>
        </w:tc>
        <w:tc>
          <w:tcPr>
            <w:tcW w:w="2126" w:type="dxa"/>
          </w:tcPr>
          <w:p w:rsidR="009A3AFE" w:rsidRPr="009643EB" w:rsidRDefault="009A3AFE" w:rsidP="009A3AFE">
            <w:pPr>
              <w:tabs>
                <w:tab w:val="left" w:pos="1026"/>
              </w:tabs>
              <w:spacing w:after="120"/>
              <w:jc w:val="center"/>
              <w:rPr>
                <w:szCs w:val="24"/>
              </w:rPr>
            </w:pPr>
            <w:r w:rsidRPr="00440AB3">
              <w:rPr>
                <w:szCs w:val="24"/>
              </w:rPr>
              <w:t>21</w:t>
            </w:r>
          </w:p>
        </w:tc>
        <w:tc>
          <w:tcPr>
            <w:tcW w:w="1559" w:type="dxa"/>
            <w:tcBorders>
              <w:bottom w:val="single" w:sz="18" w:space="0" w:color="auto"/>
            </w:tcBorders>
          </w:tcPr>
          <w:p w:rsidR="009A3AFE" w:rsidRPr="009643EB" w:rsidRDefault="009A3AFE" w:rsidP="009A3AFE">
            <w:pPr>
              <w:spacing w:after="120"/>
              <w:jc w:val="right"/>
              <w:rPr>
                <w:szCs w:val="24"/>
              </w:rPr>
            </w:pPr>
            <w:r>
              <w:rPr>
                <w:szCs w:val="24"/>
              </w:rPr>
              <w:t>(8.3)</w:t>
            </w:r>
          </w:p>
        </w:tc>
        <w:tc>
          <w:tcPr>
            <w:tcW w:w="430" w:type="dxa"/>
            <w:tcBorders>
              <w:right w:val="single" w:sz="4" w:space="0" w:color="FFFFFF" w:themeColor="background1"/>
            </w:tcBorders>
          </w:tcPr>
          <w:p w:rsidR="009A3AFE" w:rsidRPr="009643EB" w:rsidRDefault="009A3AFE" w:rsidP="009A3AFE">
            <w:pPr>
              <w:spacing w:after="120"/>
              <w:jc w:val="right"/>
              <w:rPr>
                <w:szCs w:val="24"/>
              </w:rPr>
            </w:pPr>
          </w:p>
        </w:tc>
        <w:tc>
          <w:tcPr>
            <w:tcW w:w="1555" w:type="dxa"/>
            <w:tcBorders>
              <w:left w:val="single" w:sz="4" w:space="0" w:color="FFFFFF" w:themeColor="background1"/>
              <w:bottom w:val="single" w:sz="18" w:space="0" w:color="auto"/>
            </w:tcBorders>
          </w:tcPr>
          <w:p w:rsidR="009A3AFE" w:rsidRDefault="009A3AFE" w:rsidP="009A3AFE">
            <w:pPr>
              <w:spacing w:after="120"/>
              <w:jc w:val="right"/>
              <w:rPr>
                <w:szCs w:val="24"/>
              </w:rPr>
            </w:pPr>
            <w:r>
              <w:rPr>
                <w:szCs w:val="24"/>
              </w:rPr>
              <w:t>(8.0)</w:t>
            </w:r>
          </w:p>
        </w:tc>
      </w:tr>
      <w:tr w:rsidR="009A3AFE" w:rsidRPr="009643EB" w:rsidTr="009A3AFE">
        <w:tc>
          <w:tcPr>
            <w:tcW w:w="4208" w:type="dxa"/>
          </w:tcPr>
          <w:p w:rsidR="009A3AFE" w:rsidRPr="0090717E" w:rsidRDefault="009A3AFE" w:rsidP="009A3AFE">
            <w:pPr>
              <w:spacing w:after="120"/>
              <w:rPr>
                <w:b/>
                <w:szCs w:val="24"/>
              </w:rPr>
            </w:pPr>
            <w:r w:rsidRPr="0090717E">
              <w:rPr>
                <w:b/>
                <w:szCs w:val="24"/>
              </w:rPr>
              <w:t>Net return on investments</w:t>
            </w:r>
          </w:p>
        </w:tc>
        <w:tc>
          <w:tcPr>
            <w:tcW w:w="2126" w:type="dxa"/>
          </w:tcPr>
          <w:p w:rsidR="009A3AFE" w:rsidRPr="0090717E" w:rsidRDefault="009A3AFE" w:rsidP="009A3AFE">
            <w:pPr>
              <w:spacing w:after="120"/>
              <w:jc w:val="right"/>
              <w:rPr>
                <w:b/>
                <w:szCs w:val="24"/>
              </w:rPr>
            </w:pPr>
          </w:p>
        </w:tc>
        <w:tc>
          <w:tcPr>
            <w:tcW w:w="1559" w:type="dxa"/>
            <w:tcBorders>
              <w:top w:val="single" w:sz="18" w:space="0" w:color="auto"/>
              <w:bottom w:val="single" w:sz="18" w:space="0" w:color="auto"/>
            </w:tcBorders>
          </w:tcPr>
          <w:p w:rsidR="009A3AFE" w:rsidRPr="0090717E" w:rsidRDefault="009A3AFE" w:rsidP="009A3AFE">
            <w:pPr>
              <w:spacing w:after="120"/>
              <w:jc w:val="right"/>
              <w:rPr>
                <w:b/>
                <w:szCs w:val="24"/>
              </w:rPr>
            </w:pPr>
            <w:r>
              <w:rPr>
                <w:b/>
                <w:szCs w:val="24"/>
              </w:rPr>
              <w:t>102.6</w:t>
            </w:r>
          </w:p>
        </w:tc>
        <w:tc>
          <w:tcPr>
            <w:tcW w:w="430" w:type="dxa"/>
            <w:tcBorders>
              <w:right w:val="single" w:sz="4" w:space="0" w:color="FFFFFF" w:themeColor="background1"/>
            </w:tcBorders>
          </w:tcPr>
          <w:p w:rsidR="009A3AFE" w:rsidRPr="0090717E" w:rsidRDefault="009A3AFE" w:rsidP="009A3AFE">
            <w:pPr>
              <w:spacing w:after="120"/>
              <w:jc w:val="right"/>
              <w:rPr>
                <w:b/>
                <w:szCs w:val="24"/>
              </w:rPr>
            </w:pPr>
          </w:p>
        </w:tc>
        <w:tc>
          <w:tcPr>
            <w:tcW w:w="1555" w:type="dxa"/>
            <w:tcBorders>
              <w:top w:val="single" w:sz="18" w:space="0" w:color="auto"/>
              <w:left w:val="single" w:sz="4" w:space="0" w:color="FFFFFF" w:themeColor="background1"/>
              <w:bottom w:val="single" w:sz="18" w:space="0" w:color="auto"/>
            </w:tcBorders>
          </w:tcPr>
          <w:p w:rsidR="009A3AFE" w:rsidRPr="0090717E" w:rsidRDefault="009A3AFE" w:rsidP="009A3AFE">
            <w:pPr>
              <w:spacing w:after="120"/>
              <w:jc w:val="right"/>
              <w:rPr>
                <w:b/>
                <w:szCs w:val="24"/>
              </w:rPr>
            </w:pPr>
            <w:r w:rsidRPr="0090717E">
              <w:rPr>
                <w:b/>
                <w:szCs w:val="24"/>
              </w:rPr>
              <w:t>320.</w:t>
            </w:r>
            <w:r>
              <w:rPr>
                <w:b/>
                <w:szCs w:val="24"/>
              </w:rPr>
              <w:t>1</w:t>
            </w:r>
          </w:p>
        </w:tc>
      </w:tr>
      <w:tr w:rsidR="009A3AFE" w:rsidRPr="009643EB" w:rsidTr="009A3AFE">
        <w:tc>
          <w:tcPr>
            <w:tcW w:w="4208" w:type="dxa"/>
          </w:tcPr>
          <w:p w:rsidR="009A3AFE" w:rsidRPr="0090717E" w:rsidRDefault="009A3AFE" w:rsidP="009A3AFE">
            <w:pPr>
              <w:spacing w:before="120"/>
              <w:rPr>
                <w:b/>
                <w:szCs w:val="24"/>
              </w:rPr>
            </w:pPr>
            <w:r w:rsidRPr="0090717E">
              <w:rPr>
                <w:b/>
                <w:szCs w:val="24"/>
              </w:rPr>
              <w:t>Net increase (decrease) in the fund during the year</w:t>
            </w:r>
          </w:p>
        </w:tc>
        <w:tc>
          <w:tcPr>
            <w:tcW w:w="2126" w:type="dxa"/>
          </w:tcPr>
          <w:p w:rsidR="009A3AFE" w:rsidRPr="0090717E" w:rsidRDefault="009A3AFE" w:rsidP="009A3AFE">
            <w:pPr>
              <w:spacing w:before="120"/>
              <w:jc w:val="right"/>
              <w:rPr>
                <w:b/>
                <w:szCs w:val="24"/>
              </w:rPr>
            </w:pPr>
          </w:p>
        </w:tc>
        <w:tc>
          <w:tcPr>
            <w:tcW w:w="1559" w:type="dxa"/>
            <w:tcBorders>
              <w:top w:val="single" w:sz="18" w:space="0" w:color="auto"/>
              <w:bottom w:val="double" w:sz="12" w:space="0" w:color="auto"/>
            </w:tcBorders>
          </w:tcPr>
          <w:p w:rsidR="009A3AFE" w:rsidRPr="0090717E" w:rsidRDefault="009A3AFE" w:rsidP="009A3AFE">
            <w:pPr>
              <w:spacing w:before="120"/>
              <w:jc w:val="right"/>
              <w:rPr>
                <w:b/>
                <w:szCs w:val="24"/>
              </w:rPr>
            </w:pPr>
            <w:r>
              <w:rPr>
                <w:b/>
                <w:szCs w:val="24"/>
              </w:rPr>
              <w:t>86.4</w:t>
            </w:r>
          </w:p>
        </w:tc>
        <w:tc>
          <w:tcPr>
            <w:tcW w:w="430" w:type="dxa"/>
            <w:tcBorders>
              <w:right w:val="single" w:sz="4" w:space="0" w:color="FFFFFF" w:themeColor="background1"/>
            </w:tcBorders>
          </w:tcPr>
          <w:p w:rsidR="009A3AFE" w:rsidRPr="0090717E" w:rsidRDefault="009A3AFE" w:rsidP="009A3AFE">
            <w:pPr>
              <w:spacing w:before="120"/>
              <w:jc w:val="right"/>
              <w:rPr>
                <w:b/>
                <w:szCs w:val="24"/>
              </w:rPr>
            </w:pPr>
          </w:p>
        </w:tc>
        <w:tc>
          <w:tcPr>
            <w:tcW w:w="1555" w:type="dxa"/>
            <w:tcBorders>
              <w:top w:val="single" w:sz="18" w:space="0" w:color="auto"/>
              <w:left w:val="single" w:sz="4" w:space="0" w:color="FFFFFF" w:themeColor="background1"/>
              <w:bottom w:val="double" w:sz="12" w:space="0" w:color="auto"/>
            </w:tcBorders>
          </w:tcPr>
          <w:p w:rsidR="009A3AFE" w:rsidRPr="0090717E" w:rsidRDefault="009A3AFE" w:rsidP="009A3AFE">
            <w:pPr>
              <w:spacing w:before="120"/>
              <w:jc w:val="right"/>
              <w:rPr>
                <w:b/>
                <w:szCs w:val="24"/>
              </w:rPr>
            </w:pPr>
            <w:r w:rsidRPr="0090717E">
              <w:rPr>
                <w:b/>
                <w:szCs w:val="24"/>
              </w:rPr>
              <w:t>332.</w:t>
            </w:r>
            <w:r>
              <w:rPr>
                <w:b/>
                <w:szCs w:val="24"/>
              </w:rPr>
              <w:t>0</w:t>
            </w:r>
          </w:p>
        </w:tc>
      </w:tr>
    </w:tbl>
    <w:p w:rsidR="009A3AFE" w:rsidRDefault="009A3AFE" w:rsidP="009A3AFE"/>
    <w:p w:rsidR="00F332F8" w:rsidRDefault="009A3AFE" w:rsidP="009A3AFE">
      <w:pPr>
        <w:pStyle w:val="Heading5"/>
        <w:spacing w:line="360" w:lineRule="auto"/>
        <w:jc w:val="center"/>
        <w:rPr>
          <w:szCs w:val="24"/>
        </w:rPr>
      </w:pPr>
      <w:r>
        <w:rPr>
          <w:szCs w:val="24"/>
        </w:rPr>
        <w:br w:type="page"/>
      </w:r>
    </w:p>
    <w:p w:rsidR="00F332F8" w:rsidRDefault="00F332F8" w:rsidP="009A3AFE">
      <w:pPr>
        <w:pStyle w:val="Heading5"/>
        <w:spacing w:line="360" w:lineRule="auto"/>
        <w:jc w:val="center"/>
        <w:rPr>
          <w:szCs w:val="24"/>
        </w:rPr>
      </w:pPr>
    </w:p>
    <w:p w:rsidR="009A3AFE" w:rsidRDefault="009A3AFE" w:rsidP="009A3AFE">
      <w:pPr>
        <w:pStyle w:val="Heading5"/>
        <w:spacing w:line="360" w:lineRule="auto"/>
        <w:jc w:val="center"/>
        <w:rPr>
          <w:rFonts w:ascii="Arial" w:hAnsi="Arial"/>
          <w:szCs w:val="24"/>
          <w:u w:val="none"/>
        </w:rPr>
      </w:pPr>
      <w:r w:rsidRPr="00942A4F">
        <w:rPr>
          <w:rFonts w:ascii="Arial" w:hAnsi="Arial"/>
          <w:szCs w:val="24"/>
          <w:u w:val="none"/>
        </w:rPr>
        <w:t>Net Asset statement for the year ended 31 March 2012</w:t>
      </w:r>
    </w:p>
    <w:p w:rsidR="009A3AFE" w:rsidRDefault="009A3AFE" w:rsidP="009A3AFE"/>
    <w:p w:rsidR="009A3AFE" w:rsidRDefault="009A3AFE" w:rsidP="009A3AFE"/>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51"/>
        <w:gridCol w:w="1952"/>
        <w:gridCol w:w="1490"/>
        <w:gridCol w:w="404"/>
        <w:gridCol w:w="1487"/>
      </w:tblGrid>
      <w:tr w:rsidR="009A3AFE" w:rsidTr="009A3AFE">
        <w:tc>
          <w:tcPr>
            <w:tcW w:w="4208" w:type="dxa"/>
          </w:tcPr>
          <w:p w:rsidR="009A3AFE" w:rsidRDefault="009A3AFE" w:rsidP="009A3AFE">
            <w:pPr>
              <w:rPr>
                <w:b/>
                <w:szCs w:val="24"/>
              </w:rPr>
            </w:pPr>
          </w:p>
          <w:p w:rsidR="009A3AFE" w:rsidRDefault="009A3AFE" w:rsidP="009A3AFE">
            <w:pPr>
              <w:jc w:val="right"/>
              <w:rPr>
                <w:b/>
                <w:szCs w:val="24"/>
              </w:rPr>
            </w:pPr>
          </w:p>
        </w:tc>
        <w:tc>
          <w:tcPr>
            <w:tcW w:w="2126" w:type="dxa"/>
          </w:tcPr>
          <w:p w:rsidR="009A3AFE" w:rsidRDefault="009A3AFE" w:rsidP="009A3AFE">
            <w:pPr>
              <w:rPr>
                <w:b/>
                <w:szCs w:val="24"/>
              </w:rPr>
            </w:pPr>
          </w:p>
          <w:p w:rsidR="009A3AFE" w:rsidRDefault="009A3AFE" w:rsidP="009A3AFE">
            <w:pPr>
              <w:jc w:val="center"/>
              <w:rPr>
                <w:b/>
                <w:szCs w:val="24"/>
              </w:rPr>
            </w:pPr>
            <w:r>
              <w:rPr>
                <w:b/>
                <w:szCs w:val="24"/>
              </w:rPr>
              <w:t>Note</w:t>
            </w:r>
          </w:p>
        </w:tc>
        <w:tc>
          <w:tcPr>
            <w:tcW w:w="1559" w:type="dxa"/>
          </w:tcPr>
          <w:p w:rsidR="009A3AFE" w:rsidRDefault="009A3AFE" w:rsidP="009A3AFE">
            <w:pPr>
              <w:jc w:val="right"/>
              <w:rPr>
                <w:b/>
                <w:szCs w:val="24"/>
              </w:rPr>
            </w:pPr>
            <w:r>
              <w:rPr>
                <w:b/>
                <w:szCs w:val="24"/>
              </w:rPr>
              <w:t>2012</w:t>
            </w:r>
          </w:p>
          <w:p w:rsidR="009A3AFE" w:rsidRDefault="009A3AFE" w:rsidP="009A3AFE">
            <w:pPr>
              <w:jc w:val="right"/>
              <w:rPr>
                <w:b/>
                <w:szCs w:val="24"/>
              </w:rPr>
            </w:pPr>
            <w:r>
              <w:rPr>
                <w:b/>
                <w:szCs w:val="24"/>
              </w:rPr>
              <w:t>£m</w:t>
            </w:r>
          </w:p>
        </w:tc>
        <w:tc>
          <w:tcPr>
            <w:tcW w:w="430" w:type="dxa"/>
            <w:tcBorders>
              <w:right w:val="single" w:sz="4" w:space="0" w:color="FFFFFF" w:themeColor="background1"/>
            </w:tcBorders>
          </w:tcPr>
          <w:p w:rsidR="009A3AFE" w:rsidRDefault="009A3AFE" w:rsidP="009A3AFE">
            <w:pPr>
              <w:jc w:val="right"/>
              <w:rPr>
                <w:b/>
                <w:szCs w:val="24"/>
              </w:rPr>
            </w:pPr>
          </w:p>
          <w:p w:rsidR="009A3AFE" w:rsidRDefault="009A3AFE" w:rsidP="009A3AFE">
            <w:pPr>
              <w:jc w:val="right"/>
              <w:rPr>
                <w:b/>
                <w:szCs w:val="24"/>
              </w:rPr>
            </w:pPr>
          </w:p>
        </w:tc>
        <w:tc>
          <w:tcPr>
            <w:tcW w:w="1555" w:type="dxa"/>
            <w:tcBorders>
              <w:left w:val="single" w:sz="4" w:space="0" w:color="FFFFFF" w:themeColor="background1"/>
            </w:tcBorders>
          </w:tcPr>
          <w:p w:rsidR="009A3AFE" w:rsidRDefault="009A3AFE" w:rsidP="009A3AFE">
            <w:pPr>
              <w:jc w:val="right"/>
              <w:rPr>
                <w:b/>
                <w:szCs w:val="24"/>
              </w:rPr>
            </w:pPr>
            <w:r>
              <w:rPr>
                <w:b/>
                <w:szCs w:val="24"/>
              </w:rPr>
              <w:t>2011</w:t>
            </w:r>
          </w:p>
          <w:p w:rsidR="009A3AFE" w:rsidRDefault="009A3AFE" w:rsidP="009A3AFE">
            <w:pPr>
              <w:jc w:val="right"/>
              <w:rPr>
                <w:b/>
                <w:szCs w:val="24"/>
              </w:rPr>
            </w:pPr>
            <w:r>
              <w:rPr>
                <w:b/>
                <w:szCs w:val="24"/>
              </w:rPr>
              <w:t>£m</w:t>
            </w:r>
          </w:p>
          <w:p w:rsidR="009A3AFE" w:rsidRDefault="009A3AFE" w:rsidP="009A3AFE">
            <w:pPr>
              <w:jc w:val="right"/>
              <w:rPr>
                <w:b/>
                <w:szCs w:val="24"/>
              </w:rPr>
            </w:pPr>
          </w:p>
        </w:tc>
      </w:tr>
      <w:tr w:rsidR="009A3AFE" w:rsidRPr="009643EB" w:rsidTr="009A3AFE">
        <w:tc>
          <w:tcPr>
            <w:tcW w:w="4208" w:type="dxa"/>
          </w:tcPr>
          <w:p w:rsidR="009A3AFE" w:rsidRPr="00614617" w:rsidRDefault="009A3AFE" w:rsidP="009A3AFE">
            <w:pPr>
              <w:spacing w:after="120"/>
              <w:rPr>
                <w:szCs w:val="24"/>
              </w:rPr>
            </w:pPr>
            <w:r>
              <w:rPr>
                <w:szCs w:val="24"/>
              </w:rPr>
              <w:t>Investment assets</w:t>
            </w:r>
          </w:p>
        </w:tc>
        <w:tc>
          <w:tcPr>
            <w:tcW w:w="2126" w:type="dxa"/>
          </w:tcPr>
          <w:p w:rsidR="009A3AFE" w:rsidRPr="009643EB" w:rsidRDefault="009A3AFE" w:rsidP="009A3AFE">
            <w:pPr>
              <w:tabs>
                <w:tab w:val="left" w:pos="1026"/>
              </w:tabs>
              <w:spacing w:after="120"/>
              <w:jc w:val="center"/>
              <w:rPr>
                <w:szCs w:val="24"/>
              </w:rPr>
            </w:pPr>
            <w:r>
              <w:rPr>
                <w:szCs w:val="24"/>
              </w:rPr>
              <w:t>14</w:t>
            </w:r>
          </w:p>
        </w:tc>
        <w:tc>
          <w:tcPr>
            <w:tcW w:w="1559" w:type="dxa"/>
          </w:tcPr>
          <w:p w:rsidR="009A3AFE" w:rsidRPr="009643EB" w:rsidRDefault="009A3AFE" w:rsidP="000A3FCD">
            <w:pPr>
              <w:spacing w:after="120"/>
              <w:jc w:val="right"/>
              <w:rPr>
                <w:szCs w:val="24"/>
              </w:rPr>
            </w:pPr>
            <w:r>
              <w:rPr>
                <w:szCs w:val="24"/>
              </w:rPr>
              <w:t>4,36</w:t>
            </w:r>
            <w:r w:rsidR="000A3FCD">
              <w:rPr>
                <w:szCs w:val="24"/>
              </w:rPr>
              <w:t>1</w:t>
            </w:r>
            <w:r>
              <w:rPr>
                <w:szCs w:val="24"/>
              </w:rPr>
              <w:t>.</w:t>
            </w:r>
            <w:r w:rsidR="000A3FCD">
              <w:rPr>
                <w:szCs w:val="24"/>
              </w:rPr>
              <w:t>4</w:t>
            </w:r>
          </w:p>
        </w:tc>
        <w:tc>
          <w:tcPr>
            <w:tcW w:w="430" w:type="dxa"/>
            <w:tcBorders>
              <w:right w:val="single" w:sz="4" w:space="0" w:color="FFFFFF" w:themeColor="background1"/>
            </w:tcBorders>
          </w:tcPr>
          <w:p w:rsidR="009A3AFE" w:rsidRPr="009643EB" w:rsidRDefault="009A3AFE" w:rsidP="009A3AFE">
            <w:pPr>
              <w:spacing w:after="120"/>
              <w:jc w:val="right"/>
              <w:rPr>
                <w:szCs w:val="24"/>
              </w:rPr>
            </w:pPr>
          </w:p>
        </w:tc>
        <w:tc>
          <w:tcPr>
            <w:tcW w:w="1555" w:type="dxa"/>
            <w:tcBorders>
              <w:left w:val="single" w:sz="4" w:space="0" w:color="FFFFFF" w:themeColor="background1"/>
            </w:tcBorders>
          </w:tcPr>
          <w:p w:rsidR="009A3AFE" w:rsidRPr="009643EB" w:rsidRDefault="009A3AFE" w:rsidP="009A3AFE">
            <w:pPr>
              <w:spacing w:after="120"/>
              <w:jc w:val="right"/>
              <w:rPr>
                <w:szCs w:val="24"/>
              </w:rPr>
            </w:pPr>
            <w:r>
              <w:rPr>
                <w:szCs w:val="24"/>
              </w:rPr>
              <w:t>4,282.1</w:t>
            </w:r>
          </w:p>
        </w:tc>
      </w:tr>
      <w:tr w:rsidR="009A3AFE" w:rsidRPr="009643EB" w:rsidTr="009A3AFE">
        <w:tc>
          <w:tcPr>
            <w:tcW w:w="4208" w:type="dxa"/>
          </w:tcPr>
          <w:p w:rsidR="009A3AFE" w:rsidRPr="009643EB" w:rsidRDefault="009A3AFE" w:rsidP="009A3AFE">
            <w:pPr>
              <w:spacing w:after="120"/>
              <w:rPr>
                <w:szCs w:val="24"/>
              </w:rPr>
            </w:pPr>
            <w:r>
              <w:rPr>
                <w:szCs w:val="24"/>
              </w:rPr>
              <w:t>Investment liabilities</w:t>
            </w:r>
          </w:p>
        </w:tc>
        <w:tc>
          <w:tcPr>
            <w:tcW w:w="2126" w:type="dxa"/>
          </w:tcPr>
          <w:p w:rsidR="009A3AFE" w:rsidRPr="009643EB" w:rsidRDefault="009A3AFE" w:rsidP="009A3AFE">
            <w:pPr>
              <w:tabs>
                <w:tab w:val="left" w:pos="1026"/>
              </w:tabs>
              <w:spacing w:after="120"/>
              <w:jc w:val="center"/>
              <w:rPr>
                <w:szCs w:val="24"/>
              </w:rPr>
            </w:pPr>
            <w:r>
              <w:rPr>
                <w:szCs w:val="24"/>
              </w:rPr>
              <w:t>14</w:t>
            </w:r>
          </w:p>
        </w:tc>
        <w:tc>
          <w:tcPr>
            <w:tcW w:w="1559" w:type="dxa"/>
          </w:tcPr>
          <w:p w:rsidR="009A3AFE" w:rsidRPr="009643EB" w:rsidRDefault="009A3AFE" w:rsidP="000A3FCD">
            <w:pPr>
              <w:spacing w:after="120"/>
              <w:jc w:val="right"/>
              <w:rPr>
                <w:szCs w:val="24"/>
              </w:rPr>
            </w:pPr>
            <w:r>
              <w:rPr>
                <w:szCs w:val="24"/>
              </w:rPr>
              <w:t>(</w:t>
            </w:r>
            <w:r w:rsidR="000A3FCD">
              <w:rPr>
                <w:szCs w:val="24"/>
              </w:rPr>
              <w:t>1</w:t>
            </w:r>
            <w:r>
              <w:rPr>
                <w:szCs w:val="24"/>
              </w:rPr>
              <w:t>.</w:t>
            </w:r>
            <w:r w:rsidR="000A3FCD">
              <w:rPr>
                <w:szCs w:val="24"/>
              </w:rPr>
              <w:t>5</w:t>
            </w:r>
            <w:r>
              <w:rPr>
                <w:szCs w:val="24"/>
              </w:rPr>
              <w:t>)</w:t>
            </w:r>
          </w:p>
        </w:tc>
        <w:tc>
          <w:tcPr>
            <w:tcW w:w="430" w:type="dxa"/>
            <w:tcBorders>
              <w:right w:val="single" w:sz="4" w:space="0" w:color="FFFFFF" w:themeColor="background1"/>
            </w:tcBorders>
          </w:tcPr>
          <w:p w:rsidR="009A3AFE" w:rsidRPr="009643EB" w:rsidRDefault="009A3AFE" w:rsidP="009A3AFE">
            <w:pPr>
              <w:spacing w:after="120"/>
              <w:jc w:val="right"/>
              <w:rPr>
                <w:szCs w:val="24"/>
              </w:rPr>
            </w:pPr>
          </w:p>
        </w:tc>
        <w:tc>
          <w:tcPr>
            <w:tcW w:w="1555" w:type="dxa"/>
            <w:tcBorders>
              <w:left w:val="single" w:sz="4" w:space="0" w:color="FFFFFF" w:themeColor="background1"/>
            </w:tcBorders>
          </w:tcPr>
          <w:p w:rsidR="009A3AFE" w:rsidRPr="009643EB" w:rsidRDefault="009A3AFE" w:rsidP="009A3AFE">
            <w:pPr>
              <w:spacing w:after="120"/>
              <w:jc w:val="right"/>
              <w:rPr>
                <w:szCs w:val="24"/>
              </w:rPr>
            </w:pPr>
            <w:r>
              <w:rPr>
                <w:szCs w:val="24"/>
              </w:rPr>
              <w:t>(0.9)</w:t>
            </w:r>
          </w:p>
        </w:tc>
      </w:tr>
      <w:tr w:rsidR="009A3AFE" w:rsidRPr="009643EB" w:rsidTr="009A3AFE">
        <w:tc>
          <w:tcPr>
            <w:tcW w:w="4208" w:type="dxa"/>
          </w:tcPr>
          <w:p w:rsidR="009A3AFE" w:rsidRDefault="009A3AFE" w:rsidP="009A3AFE">
            <w:pPr>
              <w:spacing w:after="120"/>
              <w:rPr>
                <w:szCs w:val="24"/>
              </w:rPr>
            </w:pPr>
            <w:r>
              <w:rPr>
                <w:szCs w:val="24"/>
              </w:rPr>
              <w:t>Current assets</w:t>
            </w:r>
          </w:p>
        </w:tc>
        <w:tc>
          <w:tcPr>
            <w:tcW w:w="2126" w:type="dxa"/>
          </w:tcPr>
          <w:p w:rsidR="009A3AFE" w:rsidRPr="00D63AC4" w:rsidRDefault="009A3AFE" w:rsidP="009A3AFE">
            <w:pPr>
              <w:tabs>
                <w:tab w:val="left" w:pos="1026"/>
              </w:tabs>
              <w:spacing w:after="120"/>
              <w:jc w:val="center"/>
              <w:rPr>
                <w:szCs w:val="24"/>
                <w:highlight w:val="yellow"/>
              </w:rPr>
            </w:pPr>
            <w:r w:rsidRPr="00440AB3">
              <w:rPr>
                <w:szCs w:val="24"/>
              </w:rPr>
              <w:t>22</w:t>
            </w:r>
          </w:p>
        </w:tc>
        <w:tc>
          <w:tcPr>
            <w:tcW w:w="1559" w:type="dxa"/>
          </w:tcPr>
          <w:p w:rsidR="009A3AFE" w:rsidRPr="009643EB" w:rsidRDefault="009A3AFE" w:rsidP="009A3AFE">
            <w:pPr>
              <w:spacing w:after="120"/>
              <w:jc w:val="right"/>
              <w:rPr>
                <w:szCs w:val="24"/>
              </w:rPr>
            </w:pPr>
            <w:r>
              <w:rPr>
                <w:szCs w:val="24"/>
              </w:rPr>
              <w:t>23.3</w:t>
            </w:r>
          </w:p>
        </w:tc>
        <w:tc>
          <w:tcPr>
            <w:tcW w:w="430" w:type="dxa"/>
            <w:tcBorders>
              <w:right w:val="single" w:sz="4" w:space="0" w:color="FFFFFF" w:themeColor="background1"/>
            </w:tcBorders>
          </w:tcPr>
          <w:p w:rsidR="009A3AFE" w:rsidRDefault="009A3AFE" w:rsidP="009A3AFE">
            <w:pPr>
              <w:spacing w:after="120"/>
              <w:jc w:val="right"/>
              <w:rPr>
                <w:szCs w:val="24"/>
              </w:rPr>
            </w:pPr>
          </w:p>
        </w:tc>
        <w:tc>
          <w:tcPr>
            <w:tcW w:w="1555" w:type="dxa"/>
            <w:tcBorders>
              <w:left w:val="single" w:sz="4" w:space="0" w:color="FFFFFF" w:themeColor="background1"/>
            </w:tcBorders>
          </w:tcPr>
          <w:p w:rsidR="009A3AFE" w:rsidRDefault="009A3AFE" w:rsidP="009A3AFE">
            <w:pPr>
              <w:spacing w:after="120"/>
              <w:jc w:val="right"/>
              <w:rPr>
                <w:szCs w:val="24"/>
              </w:rPr>
            </w:pPr>
            <w:r>
              <w:rPr>
                <w:szCs w:val="24"/>
              </w:rPr>
              <w:t>21.6</w:t>
            </w:r>
          </w:p>
        </w:tc>
      </w:tr>
      <w:tr w:rsidR="009A3AFE" w:rsidRPr="009643EB" w:rsidTr="009A3AFE">
        <w:tc>
          <w:tcPr>
            <w:tcW w:w="4208" w:type="dxa"/>
          </w:tcPr>
          <w:p w:rsidR="009A3AFE" w:rsidRDefault="009A3AFE" w:rsidP="009A3AFE">
            <w:pPr>
              <w:spacing w:after="120"/>
              <w:rPr>
                <w:szCs w:val="24"/>
              </w:rPr>
            </w:pPr>
            <w:r>
              <w:rPr>
                <w:szCs w:val="24"/>
              </w:rPr>
              <w:t>Current liabilities</w:t>
            </w:r>
          </w:p>
        </w:tc>
        <w:tc>
          <w:tcPr>
            <w:tcW w:w="2126" w:type="dxa"/>
          </w:tcPr>
          <w:p w:rsidR="009A3AFE" w:rsidRPr="00D63AC4" w:rsidRDefault="009A3AFE" w:rsidP="009A3AFE">
            <w:pPr>
              <w:tabs>
                <w:tab w:val="left" w:pos="1026"/>
              </w:tabs>
              <w:spacing w:after="120"/>
              <w:jc w:val="center"/>
              <w:rPr>
                <w:szCs w:val="24"/>
                <w:highlight w:val="yellow"/>
              </w:rPr>
            </w:pPr>
            <w:r w:rsidRPr="00440AB3">
              <w:rPr>
                <w:szCs w:val="24"/>
              </w:rPr>
              <w:t>2</w:t>
            </w:r>
            <w:r>
              <w:rPr>
                <w:szCs w:val="24"/>
              </w:rPr>
              <w:t>4</w:t>
            </w:r>
          </w:p>
        </w:tc>
        <w:tc>
          <w:tcPr>
            <w:tcW w:w="1559" w:type="dxa"/>
            <w:tcBorders>
              <w:bottom w:val="single" w:sz="18" w:space="0" w:color="auto"/>
            </w:tcBorders>
          </w:tcPr>
          <w:p w:rsidR="009A3AFE" w:rsidRPr="009643EB" w:rsidRDefault="009A3AFE" w:rsidP="009A3AFE">
            <w:pPr>
              <w:spacing w:after="120"/>
              <w:jc w:val="right"/>
              <w:rPr>
                <w:szCs w:val="24"/>
              </w:rPr>
            </w:pPr>
            <w:r>
              <w:rPr>
                <w:szCs w:val="24"/>
              </w:rPr>
              <w:t>(3.2)</w:t>
            </w:r>
          </w:p>
        </w:tc>
        <w:tc>
          <w:tcPr>
            <w:tcW w:w="430" w:type="dxa"/>
            <w:tcBorders>
              <w:right w:val="single" w:sz="4" w:space="0" w:color="FFFFFF" w:themeColor="background1"/>
            </w:tcBorders>
          </w:tcPr>
          <w:p w:rsidR="009A3AFE" w:rsidRDefault="009A3AFE" w:rsidP="009A3AFE">
            <w:pPr>
              <w:spacing w:after="120"/>
              <w:jc w:val="right"/>
              <w:rPr>
                <w:szCs w:val="24"/>
              </w:rPr>
            </w:pPr>
          </w:p>
        </w:tc>
        <w:tc>
          <w:tcPr>
            <w:tcW w:w="1555" w:type="dxa"/>
            <w:tcBorders>
              <w:left w:val="single" w:sz="4" w:space="0" w:color="FFFFFF" w:themeColor="background1"/>
              <w:bottom w:val="single" w:sz="18" w:space="0" w:color="auto"/>
            </w:tcBorders>
          </w:tcPr>
          <w:p w:rsidR="009A3AFE" w:rsidRDefault="009A3AFE" w:rsidP="009A3AFE">
            <w:pPr>
              <w:spacing w:after="120"/>
              <w:jc w:val="right"/>
              <w:rPr>
                <w:szCs w:val="24"/>
              </w:rPr>
            </w:pPr>
            <w:r>
              <w:rPr>
                <w:szCs w:val="24"/>
              </w:rPr>
              <w:t>(9.2)</w:t>
            </w:r>
          </w:p>
        </w:tc>
      </w:tr>
      <w:tr w:rsidR="009A3AFE" w:rsidRPr="009643EB" w:rsidTr="009A3AFE">
        <w:tc>
          <w:tcPr>
            <w:tcW w:w="4208" w:type="dxa"/>
          </w:tcPr>
          <w:p w:rsidR="009A3AFE" w:rsidRDefault="009A3AFE" w:rsidP="009A3AFE">
            <w:pPr>
              <w:spacing w:before="120"/>
              <w:rPr>
                <w:szCs w:val="24"/>
              </w:rPr>
            </w:pPr>
            <w:r>
              <w:rPr>
                <w:szCs w:val="24"/>
              </w:rPr>
              <w:t>Net assets of the fund available to fund benefits at the period end</w:t>
            </w:r>
          </w:p>
        </w:tc>
        <w:tc>
          <w:tcPr>
            <w:tcW w:w="2126" w:type="dxa"/>
          </w:tcPr>
          <w:p w:rsidR="009A3AFE" w:rsidRPr="009643EB" w:rsidRDefault="009A3AFE" w:rsidP="009A3AFE">
            <w:pPr>
              <w:spacing w:before="120" w:after="120"/>
              <w:jc w:val="right"/>
              <w:rPr>
                <w:szCs w:val="24"/>
              </w:rPr>
            </w:pPr>
          </w:p>
        </w:tc>
        <w:tc>
          <w:tcPr>
            <w:tcW w:w="1559" w:type="dxa"/>
            <w:tcBorders>
              <w:top w:val="single" w:sz="18" w:space="0" w:color="auto"/>
              <w:bottom w:val="single" w:sz="18" w:space="0" w:color="auto"/>
            </w:tcBorders>
          </w:tcPr>
          <w:p w:rsidR="009A3AFE" w:rsidRPr="009643EB" w:rsidRDefault="009A3AFE" w:rsidP="009A3AFE">
            <w:pPr>
              <w:spacing w:before="120" w:after="120"/>
              <w:jc w:val="right"/>
              <w:rPr>
                <w:szCs w:val="24"/>
              </w:rPr>
            </w:pPr>
            <w:r>
              <w:rPr>
                <w:szCs w:val="24"/>
              </w:rPr>
              <w:t>4,380</w:t>
            </w:r>
          </w:p>
        </w:tc>
        <w:tc>
          <w:tcPr>
            <w:tcW w:w="430" w:type="dxa"/>
            <w:tcBorders>
              <w:right w:val="single" w:sz="4" w:space="0" w:color="FFFFFF" w:themeColor="background1"/>
            </w:tcBorders>
          </w:tcPr>
          <w:p w:rsidR="009A3AFE" w:rsidRDefault="009A3AFE" w:rsidP="009A3AFE">
            <w:pPr>
              <w:spacing w:before="120" w:after="120"/>
              <w:rPr>
                <w:szCs w:val="24"/>
              </w:rPr>
            </w:pPr>
          </w:p>
        </w:tc>
        <w:tc>
          <w:tcPr>
            <w:tcW w:w="1555" w:type="dxa"/>
            <w:tcBorders>
              <w:top w:val="single" w:sz="18" w:space="0" w:color="auto"/>
              <w:left w:val="single" w:sz="4" w:space="0" w:color="FFFFFF" w:themeColor="background1"/>
              <w:bottom w:val="single" w:sz="18" w:space="0" w:color="auto"/>
            </w:tcBorders>
          </w:tcPr>
          <w:p w:rsidR="009A3AFE" w:rsidRDefault="009A3AFE" w:rsidP="009A3AFE">
            <w:pPr>
              <w:spacing w:before="120" w:after="120"/>
              <w:jc w:val="right"/>
              <w:rPr>
                <w:szCs w:val="24"/>
              </w:rPr>
            </w:pPr>
            <w:r>
              <w:rPr>
                <w:szCs w:val="24"/>
              </w:rPr>
              <w:t>4,293.6</w:t>
            </w:r>
          </w:p>
        </w:tc>
      </w:tr>
    </w:tbl>
    <w:p w:rsidR="009A3AFE" w:rsidRDefault="009A3AFE" w:rsidP="009A3AFE"/>
    <w:p w:rsidR="009A3AFE" w:rsidRPr="00614617" w:rsidRDefault="009A3AFE" w:rsidP="009A3AFE"/>
    <w:p w:rsidR="009A3AFE" w:rsidRPr="00166665" w:rsidRDefault="009A3AFE" w:rsidP="009A3AFE">
      <w:pPr>
        <w:rPr>
          <w:szCs w:val="24"/>
        </w:rPr>
      </w:pPr>
      <w:r w:rsidRPr="00166665">
        <w:rPr>
          <w:szCs w:val="24"/>
        </w:rPr>
        <w:t>The Pension Fund's financial statements do not take account of liabilities to pay pensions and other benefits after the period end.</w:t>
      </w:r>
    </w:p>
    <w:p w:rsidR="009A3AFE" w:rsidRPr="00166665" w:rsidRDefault="009A3AFE" w:rsidP="009A3AFE">
      <w:pPr>
        <w:rPr>
          <w:szCs w:val="24"/>
        </w:rPr>
      </w:pPr>
    </w:p>
    <w:p w:rsidR="009A3AFE" w:rsidRPr="00166665" w:rsidRDefault="009A3AFE" w:rsidP="009A3AFE">
      <w:pPr>
        <w:pStyle w:val="Heading3"/>
        <w:rPr>
          <w:b w:val="0"/>
          <w:i w:val="0"/>
          <w:snapToGrid/>
          <w:sz w:val="24"/>
          <w:szCs w:val="24"/>
          <w:u w:val="none"/>
          <w:lang w:eastAsia="en-GB"/>
        </w:rPr>
      </w:pPr>
      <w:r w:rsidRPr="00166665">
        <w:rPr>
          <w:b w:val="0"/>
          <w:i w:val="0"/>
          <w:snapToGrid/>
          <w:sz w:val="24"/>
          <w:szCs w:val="24"/>
          <w:u w:val="none"/>
          <w:lang w:eastAsia="en-GB"/>
        </w:rPr>
        <w:t xml:space="preserve">This statement of accounts is that upon which the auditor should enter his certificate and opinion.  It presents fairly the position of the Lancashire County Pension Fund at 31 March </w:t>
      </w:r>
      <w:r>
        <w:rPr>
          <w:b w:val="0"/>
          <w:i w:val="0"/>
          <w:snapToGrid/>
          <w:sz w:val="24"/>
          <w:szCs w:val="24"/>
          <w:u w:val="none"/>
          <w:lang w:eastAsia="en-GB"/>
        </w:rPr>
        <w:t>2012</w:t>
      </w:r>
      <w:r w:rsidRPr="00166665">
        <w:rPr>
          <w:b w:val="0"/>
          <w:i w:val="0"/>
          <w:snapToGrid/>
          <w:sz w:val="24"/>
          <w:szCs w:val="24"/>
          <w:u w:val="none"/>
          <w:lang w:eastAsia="en-GB"/>
        </w:rPr>
        <w:t xml:space="preserve"> and its income and expenditure for the year then ended.</w:t>
      </w:r>
    </w:p>
    <w:p w:rsidR="009A3AFE" w:rsidRDefault="009A3AFE" w:rsidP="009A3AFE">
      <w:pPr>
        <w:rPr>
          <w:szCs w:val="24"/>
          <w:lang w:eastAsia="en-US"/>
        </w:rPr>
      </w:pPr>
    </w:p>
    <w:p w:rsidR="009A3AFE" w:rsidRDefault="009A3AFE" w:rsidP="009A3AFE">
      <w:pPr>
        <w:rPr>
          <w:szCs w:val="24"/>
          <w:lang w:eastAsia="en-US"/>
        </w:rPr>
      </w:pPr>
    </w:p>
    <w:p w:rsidR="009A3AFE" w:rsidRDefault="009A3AFE" w:rsidP="009A3AFE">
      <w:pPr>
        <w:rPr>
          <w:szCs w:val="24"/>
          <w:lang w:eastAsia="en-US"/>
        </w:rPr>
      </w:pPr>
    </w:p>
    <w:p w:rsidR="009A3AFE" w:rsidRPr="00166665" w:rsidRDefault="009A3AFE" w:rsidP="009A3AFE">
      <w:pPr>
        <w:rPr>
          <w:szCs w:val="24"/>
          <w:lang w:eastAsia="en-US"/>
        </w:rPr>
      </w:pPr>
    </w:p>
    <w:p w:rsidR="009A3AFE" w:rsidRPr="00166665" w:rsidRDefault="009A3AFE" w:rsidP="009A3AFE">
      <w:pPr>
        <w:rPr>
          <w:szCs w:val="24"/>
          <w:lang w:eastAsia="en-US"/>
        </w:rPr>
      </w:pPr>
    </w:p>
    <w:tbl>
      <w:tblPr>
        <w:tblW w:w="0" w:type="auto"/>
        <w:tblLook w:val="04A0"/>
      </w:tblPr>
      <w:tblGrid>
        <w:gridCol w:w="4926"/>
        <w:gridCol w:w="4927"/>
      </w:tblGrid>
      <w:tr w:rsidR="009A3AFE" w:rsidRPr="0017515A" w:rsidTr="009A3AFE">
        <w:tc>
          <w:tcPr>
            <w:tcW w:w="4926" w:type="dxa"/>
          </w:tcPr>
          <w:p w:rsidR="009A3AFE" w:rsidRPr="004B3393" w:rsidRDefault="009A3AFE" w:rsidP="009A3AFE">
            <w:pPr>
              <w:rPr>
                <w:b/>
                <w:szCs w:val="24"/>
                <w:lang w:eastAsia="en-US"/>
              </w:rPr>
            </w:pPr>
            <w:r w:rsidRPr="004B3393">
              <w:rPr>
                <w:b/>
                <w:szCs w:val="24"/>
                <w:lang w:eastAsia="en-US"/>
              </w:rPr>
              <w:t>Gill Kilpatrick CPFA</w:t>
            </w:r>
            <w:r w:rsidRPr="004B3393">
              <w:rPr>
                <w:b/>
                <w:szCs w:val="24"/>
                <w:lang w:eastAsia="en-US"/>
              </w:rPr>
              <w:tab/>
              <w:t xml:space="preserve"> </w:t>
            </w:r>
          </w:p>
        </w:tc>
        <w:tc>
          <w:tcPr>
            <w:tcW w:w="4927" w:type="dxa"/>
          </w:tcPr>
          <w:p w:rsidR="009A3AFE" w:rsidRPr="004B3393" w:rsidRDefault="009A3AFE" w:rsidP="009A3AFE">
            <w:pPr>
              <w:rPr>
                <w:b/>
                <w:szCs w:val="24"/>
                <w:lang w:eastAsia="en-US"/>
              </w:rPr>
            </w:pPr>
            <w:r w:rsidRPr="004B3393">
              <w:rPr>
                <w:b/>
                <w:szCs w:val="24"/>
                <w:lang w:eastAsia="en-US"/>
              </w:rPr>
              <w:t>County Councillor Sam Chapman</w:t>
            </w:r>
          </w:p>
        </w:tc>
      </w:tr>
      <w:tr w:rsidR="009A3AFE" w:rsidRPr="0017515A" w:rsidTr="009A3AFE">
        <w:tc>
          <w:tcPr>
            <w:tcW w:w="4926" w:type="dxa"/>
          </w:tcPr>
          <w:p w:rsidR="009A3AFE" w:rsidRPr="004B3393" w:rsidRDefault="009A3AFE" w:rsidP="009A3AFE">
            <w:pPr>
              <w:rPr>
                <w:b/>
                <w:szCs w:val="24"/>
                <w:lang w:eastAsia="en-US"/>
              </w:rPr>
            </w:pPr>
          </w:p>
        </w:tc>
        <w:tc>
          <w:tcPr>
            <w:tcW w:w="4927" w:type="dxa"/>
          </w:tcPr>
          <w:p w:rsidR="009A3AFE" w:rsidRPr="004B3393" w:rsidRDefault="009A3AFE" w:rsidP="009A3AFE">
            <w:pPr>
              <w:rPr>
                <w:b/>
                <w:szCs w:val="24"/>
                <w:lang w:eastAsia="en-US"/>
              </w:rPr>
            </w:pPr>
          </w:p>
        </w:tc>
      </w:tr>
      <w:tr w:rsidR="009A3AFE" w:rsidRPr="0017515A" w:rsidTr="009A3AFE">
        <w:tc>
          <w:tcPr>
            <w:tcW w:w="4926" w:type="dxa"/>
          </w:tcPr>
          <w:p w:rsidR="009A3AFE" w:rsidRPr="004B3393" w:rsidRDefault="009A3AFE" w:rsidP="009A3AFE">
            <w:pPr>
              <w:rPr>
                <w:b/>
                <w:szCs w:val="24"/>
                <w:lang w:eastAsia="en-US"/>
              </w:rPr>
            </w:pPr>
            <w:r w:rsidRPr="004B3393">
              <w:rPr>
                <w:b/>
                <w:szCs w:val="24"/>
                <w:lang w:eastAsia="en-US"/>
              </w:rPr>
              <w:t>Treasurer to the Lancashire</w:t>
            </w:r>
          </w:p>
          <w:p w:rsidR="009A3AFE" w:rsidRPr="004B3393" w:rsidRDefault="009A3AFE" w:rsidP="009A3AFE">
            <w:pPr>
              <w:rPr>
                <w:b/>
                <w:szCs w:val="24"/>
                <w:lang w:eastAsia="en-US"/>
              </w:rPr>
            </w:pPr>
            <w:r w:rsidRPr="004B3393">
              <w:rPr>
                <w:b/>
                <w:szCs w:val="24"/>
                <w:lang w:eastAsia="en-US"/>
              </w:rPr>
              <w:t>County Pension Fund</w:t>
            </w:r>
          </w:p>
        </w:tc>
        <w:tc>
          <w:tcPr>
            <w:tcW w:w="4927" w:type="dxa"/>
          </w:tcPr>
          <w:p w:rsidR="009A3AFE" w:rsidRPr="004B3393" w:rsidRDefault="009A3AFE" w:rsidP="009A3AFE">
            <w:pPr>
              <w:rPr>
                <w:b/>
                <w:szCs w:val="24"/>
                <w:lang w:eastAsia="en-US"/>
              </w:rPr>
            </w:pPr>
            <w:r w:rsidRPr="004B3393">
              <w:rPr>
                <w:b/>
                <w:szCs w:val="24"/>
                <w:lang w:eastAsia="en-US"/>
              </w:rPr>
              <w:t>Chairman of the Audit Committee</w:t>
            </w:r>
          </w:p>
        </w:tc>
      </w:tr>
      <w:tr w:rsidR="009A3AFE" w:rsidRPr="0017515A" w:rsidTr="009A3AFE">
        <w:tc>
          <w:tcPr>
            <w:tcW w:w="4926" w:type="dxa"/>
          </w:tcPr>
          <w:p w:rsidR="009A3AFE" w:rsidRPr="004B3393" w:rsidRDefault="009A3AFE" w:rsidP="009A3AFE">
            <w:pPr>
              <w:rPr>
                <w:b/>
                <w:szCs w:val="24"/>
                <w:lang w:eastAsia="en-US"/>
              </w:rPr>
            </w:pPr>
          </w:p>
        </w:tc>
        <w:tc>
          <w:tcPr>
            <w:tcW w:w="4927" w:type="dxa"/>
          </w:tcPr>
          <w:p w:rsidR="009A3AFE" w:rsidRPr="004B3393" w:rsidRDefault="009A3AFE" w:rsidP="009A3AFE">
            <w:pPr>
              <w:rPr>
                <w:b/>
                <w:szCs w:val="24"/>
                <w:lang w:eastAsia="en-US"/>
              </w:rPr>
            </w:pPr>
          </w:p>
        </w:tc>
      </w:tr>
    </w:tbl>
    <w:p w:rsidR="009A3AFE" w:rsidRPr="00166665" w:rsidRDefault="009A3AFE" w:rsidP="009A3AFE">
      <w:pPr>
        <w:rPr>
          <w:szCs w:val="24"/>
          <w:lang w:eastAsia="en-US"/>
        </w:rPr>
      </w:pPr>
      <w:r w:rsidRPr="00166665">
        <w:rPr>
          <w:szCs w:val="24"/>
          <w:lang w:eastAsia="en-US"/>
        </w:rPr>
        <w:br w:type="page"/>
      </w:r>
    </w:p>
    <w:p w:rsidR="009A3AFE" w:rsidRPr="00166665" w:rsidRDefault="009A3AFE" w:rsidP="009A3AFE">
      <w:pPr>
        <w:pStyle w:val="Heading3"/>
        <w:rPr>
          <w:i w:val="0"/>
          <w:sz w:val="24"/>
          <w:szCs w:val="24"/>
          <w:u w:val="none"/>
        </w:rPr>
      </w:pPr>
      <w:r w:rsidRPr="00166665">
        <w:rPr>
          <w:i w:val="0"/>
          <w:sz w:val="24"/>
          <w:szCs w:val="24"/>
          <w:u w:val="none"/>
        </w:rPr>
        <w:t>Notes to the Financial Statements</w:t>
      </w:r>
    </w:p>
    <w:p w:rsidR="009A3AFE" w:rsidRPr="00166665" w:rsidRDefault="009A3AFE" w:rsidP="009A3AFE">
      <w:pPr>
        <w:rPr>
          <w:szCs w:val="24"/>
        </w:rPr>
      </w:pPr>
    </w:p>
    <w:p w:rsidR="009A3AFE" w:rsidRPr="00166665" w:rsidRDefault="009A3AFE" w:rsidP="009A3AFE">
      <w:pPr>
        <w:numPr>
          <w:ilvl w:val="0"/>
          <w:numId w:val="2"/>
        </w:numPr>
        <w:tabs>
          <w:tab w:val="clear" w:pos="720"/>
          <w:tab w:val="num" w:pos="567"/>
        </w:tabs>
        <w:spacing w:after="240"/>
        <w:jc w:val="both"/>
        <w:rPr>
          <w:b/>
          <w:szCs w:val="24"/>
        </w:rPr>
      </w:pPr>
      <w:r w:rsidRPr="00166665">
        <w:rPr>
          <w:b/>
          <w:szCs w:val="24"/>
        </w:rPr>
        <w:t xml:space="preserve">Pension Fund Operations and Membership </w:t>
      </w:r>
    </w:p>
    <w:p w:rsidR="009A3AFE" w:rsidRPr="00166665" w:rsidRDefault="009A3AFE" w:rsidP="009A3AFE">
      <w:pPr>
        <w:ind w:left="567"/>
        <w:rPr>
          <w:szCs w:val="24"/>
        </w:rPr>
      </w:pPr>
      <w:r w:rsidRPr="00166665">
        <w:rPr>
          <w:szCs w:val="24"/>
        </w:rPr>
        <w:t>The La</w:t>
      </w:r>
      <w:r>
        <w:rPr>
          <w:szCs w:val="24"/>
        </w:rPr>
        <w:t xml:space="preserve">ncashire County Pension Fund is part of the Local Government Pension Scheme and is </w:t>
      </w:r>
      <w:r w:rsidRPr="00166665">
        <w:rPr>
          <w:szCs w:val="24"/>
        </w:rPr>
        <w:t xml:space="preserve">administered by Lancashire County Council. </w:t>
      </w:r>
      <w:r>
        <w:rPr>
          <w:szCs w:val="24"/>
        </w:rPr>
        <w:t xml:space="preserve">The county council is the reporting entity for this pension fund. </w:t>
      </w:r>
      <w:r w:rsidRPr="00166665">
        <w:rPr>
          <w:szCs w:val="24"/>
        </w:rPr>
        <w:t xml:space="preserve"> With the exception of Teachers, to whom separate arrangements apply, membership of the Pension Fund is available to County and District Council employees within Lancashire, and to employees of organisations that have entered into Pension Fund Admission Agreements with the County Council.</w:t>
      </w:r>
    </w:p>
    <w:p w:rsidR="009A3AFE" w:rsidRPr="00166665" w:rsidRDefault="009A3AFE" w:rsidP="009A3AFE">
      <w:pPr>
        <w:ind w:left="567"/>
        <w:rPr>
          <w:szCs w:val="24"/>
        </w:rPr>
      </w:pPr>
    </w:p>
    <w:p w:rsidR="009A3AFE" w:rsidRPr="00166665" w:rsidRDefault="009A3AFE" w:rsidP="009A3AFE">
      <w:pPr>
        <w:ind w:left="567"/>
        <w:jc w:val="both"/>
        <w:rPr>
          <w:szCs w:val="24"/>
        </w:rPr>
      </w:pPr>
      <w:r w:rsidRPr="00301C88">
        <w:rPr>
          <w:szCs w:val="24"/>
        </w:rPr>
        <w:t xml:space="preserve">The published accounts show that in </w:t>
      </w:r>
      <w:r w:rsidRPr="00301C88">
        <w:rPr>
          <w:caps/>
          <w:szCs w:val="24"/>
        </w:rPr>
        <w:t>2011/12</w:t>
      </w:r>
      <w:r w:rsidRPr="00301C88">
        <w:rPr>
          <w:szCs w:val="24"/>
        </w:rPr>
        <w:t xml:space="preserve"> cash inflows during the year consisted of £339.2 million and cash outflows were £24</w:t>
      </w:r>
      <w:r>
        <w:rPr>
          <w:szCs w:val="24"/>
        </w:rPr>
        <w:t>4</w:t>
      </w:r>
      <w:r w:rsidRPr="00301C88">
        <w:rPr>
          <w:szCs w:val="24"/>
        </w:rPr>
        <w:t>.</w:t>
      </w:r>
      <w:r>
        <w:rPr>
          <w:szCs w:val="24"/>
        </w:rPr>
        <w:t>9</w:t>
      </w:r>
      <w:r w:rsidRPr="00301C88">
        <w:rPr>
          <w:szCs w:val="24"/>
        </w:rPr>
        <w:t xml:space="preserve"> million, representing a net cash inflow of £94.</w:t>
      </w:r>
      <w:r>
        <w:rPr>
          <w:szCs w:val="24"/>
        </w:rPr>
        <w:t>3</w:t>
      </w:r>
      <w:r w:rsidRPr="00301C88">
        <w:rPr>
          <w:szCs w:val="24"/>
        </w:rPr>
        <w:t xml:space="preserve"> million (compared with an inflow of £93.2 million in the previous year).  Benefits payable amounted to £219.1 million and were partially offset by net investment income of £118.8 million (including £19.</w:t>
      </w:r>
      <w:r>
        <w:rPr>
          <w:szCs w:val="24"/>
        </w:rPr>
        <w:t>4</w:t>
      </w:r>
      <w:r w:rsidRPr="00301C88">
        <w:rPr>
          <w:szCs w:val="24"/>
        </w:rPr>
        <w:t xml:space="preserve"> million accrued dividends); contributions of £209.3 million and transfers in of £11.1 million produced the positive cash inflow.</w:t>
      </w:r>
    </w:p>
    <w:p w:rsidR="009A3AFE" w:rsidRPr="00166665" w:rsidRDefault="009A3AFE" w:rsidP="009A3AFE">
      <w:pPr>
        <w:ind w:left="567"/>
        <w:rPr>
          <w:szCs w:val="24"/>
        </w:rPr>
      </w:pPr>
    </w:p>
    <w:p w:rsidR="009A3AFE" w:rsidRDefault="009A3AFE" w:rsidP="009A3AFE">
      <w:pPr>
        <w:ind w:left="567"/>
        <w:rPr>
          <w:szCs w:val="24"/>
        </w:rPr>
      </w:pPr>
      <w:r w:rsidRPr="00166665">
        <w:rPr>
          <w:szCs w:val="24"/>
        </w:rPr>
        <w:t xml:space="preserve">The investments of the Pension Fund are managed by </w:t>
      </w:r>
      <w:r>
        <w:rPr>
          <w:szCs w:val="24"/>
        </w:rPr>
        <w:t>seven</w:t>
      </w:r>
      <w:r w:rsidRPr="00166665">
        <w:rPr>
          <w:szCs w:val="24"/>
        </w:rPr>
        <w:t xml:space="preserve"> external investment managers.  </w:t>
      </w:r>
      <w:r w:rsidRPr="001411AD">
        <w:rPr>
          <w:szCs w:val="24"/>
        </w:rPr>
        <w:t xml:space="preserve">The asset allocation and policy in respect of the investments of the Fund is determined by the Pension Fund Committee, which meets four times a year with the Investment Panel in attendance.  The Investment Panel </w:t>
      </w:r>
      <w:r>
        <w:rPr>
          <w:szCs w:val="24"/>
        </w:rPr>
        <w:t xml:space="preserve">meet at least quarterly, or otherwise as necessary.  The panel are responsible for making recommendations to the Pension Fund Committee in relation to the investment strategy of the fund as well as monitoring the activities and performance of the investment managers.  Full details of the Panel and Committees responsibilities are published in the Funds Statement of Investment Principles and are available from the Funds website at </w:t>
      </w:r>
      <w:hyperlink r:id="rId28" w:history="1">
        <w:r w:rsidRPr="00226A63">
          <w:rPr>
            <w:rStyle w:val="Hyperlink"/>
          </w:rPr>
          <w:t>http://www.yourpensionservice.org.uk</w:t>
        </w:r>
      </w:hyperlink>
    </w:p>
    <w:p w:rsidR="009A3AFE" w:rsidRPr="00166665" w:rsidRDefault="009A3AFE" w:rsidP="009A3AFE">
      <w:pPr>
        <w:ind w:left="567"/>
        <w:rPr>
          <w:szCs w:val="24"/>
        </w:rPr>
      </w:pPr>
    </w:p>
    <w:p w:rsidR="009A3AFE" w:rsidRPr="00166665" w:rsidRDefault="009A3AFE" w:rsidP="009A3AFE">
      <w:pPr>
        <w:ind w:left="567"/>
        <w:rPr>
          <w:szCs w:val="24"/>
        </w:rPr>
      </w:pPr>
      <w:r w:rsidRPr="00166665">
        <w:rPr>
          <w:szCs w:val="24"/>
        </w:rPr>
        <w:t>The participation in the Pension Fund is shown in the table</w:t>
      </w:r>
      <w:r>
        <w:rPr>
          <w:szCs w:val="24"/>
        </w:rPr>
        <w:t xml:space="preserve"> below</w:t>
      </w:r>
      <w:r w:rsidRPr="00166665">
        <w:rPr>
          <w:szCs w:val="24"/>
        </w:rPr>
        <w:t xml:space="preserve">, followed by the member organisations of the Pension Fund. </w:t>
      </w:r>
    </w:p>
    <w:p w:rsidR="009A3AFE" w:rsidRPr="00166665" w:rsidRDefault="009A3AFE" w:rsidP="009A3AFE">
      <w:pPr>
        <w:ind w:left="567"/>
        <w:rPr>
          <w:szCs w:val="24"/>
        </w:rPr>
      </w:pPr>
    </w:p>
    <w:p w:rsidR="009A3AFE" w:rsidRPr="001D5977" w:rsidRDefault="009A3AFE" w:rsidP="009A3AFE">
      <w:pPr>
        <w:pStyle w:val="Heading1"/>
        <w:spacing w:before="0" w:after="0"/>
        <w:ind w:left="567"/>
        <w:rPr>
          <w:snapToGrid w:val="0"/>
          <w:color w:val="000000"/>
          <w:kern w:val="0"/>
          <w:sz w:val="24"/>
          <w:szCs w:val="24"/>
          <w:lang w:eastAsia="en-US"/>
        </w:rPr>
      </w:pPr>
      <w:r w:rsidRPr="001D5977">
        <w:rPr>
          <w:snapToGrid w:val="0"/>
          <w:color w:val="000000"/>
          <w:kern w:val="0"/>
          <w:sz w:val="24"/>
          <w:szCs w:val="24"/>
          <w:lang w:eastAsia="en-US"/>
        </w:rPr>
        <w:t>Participation in the Pension Fund</w:t>
      </w:r>
    </w:p>
    <w:p w:rsidR="009A3AFE" w:rsidRPr="001D5977" w:rsidRDefault="009A3AFE" w:rsidP="009A3AFE">
      <w:pPr>
        <w:rPr>
          <w:lang w:eastAsia="en-US"/>
        </w:rPr>
      </w:pPr>
    </w:p>
    <w:tbl>
      <w:tblPr>
        <w:tblStyle w:val="TableGrid"/>
        <w:tblW w:w="0" w:type="auto"/>
        <w:tblInd w:w="817" w:type="dxa"/>
        <w:tblLook w:val="04A0"/>
      </w:tblPr>
      <w:tblGrid>
        <w:gridCol w:w="3969"/>
        <w:gridCol w:w="2154"/>
        <w:gridCol w:w="2126"/>
      </w:tblGrid>
      <w:tr w:rsidR="009A3AFE" w:rsidTr="009A3AFE">
        <w:tc>
          <w:tcPr>
            <w:tcW w:w="3969" w:type="dxa"/>
            <w:tcBorders>
              <w:top w:val="single" w:sz="18" w:space="0" w:color="auto"/>
              <w:left w:val="single" w:sz="18" w:space="0" w:color="auto"/>
              <w:bottom w:val="single" w:sz="18" w:space="0" w:color="auto"/>
              <w:right w:val="single" w:sz="18" w:space="0" w:color="auto"/>
            </w:tcBorders>
          </w:tcPr>
          <w:p w:rsidR="009A3AFE" w:rsidRDefault="009A3AFE" w:rsidP="009A3AFE">
            <w:pPr>
              <w:rPr>
                <w:lang w:eastAsia="en-US"/>
              </w:rPr>
            </w:pPr>
          </w:p>
        </w:tc>
        <w:tc>
          <w:tcPr>
            <w:tcW w:w="2154" w:type="dxa"/>
            <w:tcBorders>
              <w:top w:val="single" w:sz="18" w:space="0" w:color="auto"/>
              <w:left w:val="single" w:sz="18" w:space="0" w:color="auto"/>
              <w:bottom w:val="single" w:sz="18" w:space="0" w:color="auto"/>
              <w:right w:val="single" w:sz="18" w:space="0" w:color="auto"/>
            </w:tcBorders>
          </w:tcPr>
          <w:p w:rsidR="009A3AFE" w:rsidRPr="001D5977" w:rsidRDefault="009A3AFE" w:rsidP="009A3AFE">
            <w:pPr>
              <w:rPr>
                <w:b/>
                <w:lang w:eastAsia="en-US"/>
              </w:rPr>
            </w:pPr>
            <w:r w:rsidRPr="001D5977">
              <w:rPr>
                <w:b/>
                <w:lang w:eastAsia="en-US"/>
              </w:rPr>
              <w:t xml:space="preserve">Number at </w:t>
            </w:r>
          </w:p>
          <w:p w:rsidR="009A3AFE" w:rsidRPr="001D5977" w:rsidRDefault="009A3AFE" w:rsidP="009A3AFE">
            <w:pPr>
              <w:rPr>
                <w:b/>
                <w:lang w:eastAsia="en-US"/>
              </w:rPr>
            </w:pPr>
            <w:r w:rsidRPr="001D5977">
              <w:rPr>
                <w:b/>
                <w:lang w:eastAsia="en-US"/>
              </w:rPr>
              <w:t>31 March 2012</w:t>
            </w:r>
          </w:p>
        </w:tc>
        <w:tc>
          <w:tcPr>
            <w:tcW w:w="2126" w:type="dxa"/>
            <w:tcBorders>
              <w:top w:val="single" w:sz="18" w:space="0" w:color="auto"/>
              <w:left w:val="single" w:sz="18" w:space="0" w:color="auto"/>
              <w:bottom w:val="single" w:sz="18" w:space="0" w:color="auto"/>
              <w:right w:val="single" w:sz="18" w:space="0" w:color="auto"/>
            </w:tcBorders>
          </w:tcPr>
          <w:p w:rsidR="009A3AFE" w:rsidRPr="001D5977" w:rsidRDefault="009A3AFE" w:rsidP="009A3AFE">
            <w:pPr>
              <w:rPr>
                <w:b/>
                <w:lang w:eastAsia="en-US"/>
              </w:rPr>
            </w:pPr>
            <w:r w:rsidRPr="001D5977">
              <w:rPr>
                <w:b/>
                <w:lang w:eastAsia="en-US"/>
              </w:rPr>
              <w:t xml:space="preserve">Number at </w:t>
            </w:r>
          </w:p>
          <w:p w:rsidR="009A3AFE" w:rsidRPr="001D5977" w:rsidRDefault="009A3AFE" w:rsidP="009A3AFE">
            <w:pPr>
              <w:rPr>
                <w:b/>
                <w:lang w:eastAsia="en-US"/>
              </w:rPr>
            </w:pPr>
            <w:r w:rsidRPr="001D5977">
              <w:rPr>
                <w:b/>
                <w:lang w:eastAsia="en-US"/>
              </w:rPr>
              <w:t>31 March 2011</w:t>
            </w:r>
          </w:p>
        </w:tc>
      </w:tr>
      <w:tr w:rsidR="009A3AFE" w:rsidTr="009A3AFE">
        <w:tc>
          <w:tcPr>
            <w:tcW w:w="3969" w:type="dxa"/>
            <w:tcBorders>
              <w:top w:val="single" w:sz="18" w:space="0" w:color="auto"/>
              <w:left w:val="single" w:sz="18" w:space="0" w:color="auto"/>
              <w:bottom w:val="single" w:sz="18" w:space="0" w:color="FFFFFF" w:themeColor="background1"/>
              <w:right w:val="single" w:sz="18" w:space="0" w:color="auto"/>
            </w:tcBorders>
          </w:tcPr>
          <w:p w:rsidR="009A3AFE" w:rsidRDefault="009A3AFE" w:rsidP="00C2774F">
            <w:pPr>
              <w:pStyle w:val="ListParagraph"/>
              <w:numPr>
                <w:ilvl w:val="0"/>
                <w:numId w:val="25"/>
              </w:numPr>
              <w:ind w:hanging="686"/>
              <w:rPr>
                <w:lang w:eastAsia="en-US"/>
              </w:rPr>
            </w:pPr>
            <w:r>
              <w:rPr>
                <w:lang w:eastAsia="en-US"/>
              </w:rPr>
              <w:t>Active Scheme Members</w:t>
            </w:r>
          </w:p>
          <w:p w:rsidR="009A3AFE" w:rsidRDefault="009A3AFE" w:rsidP="009A3AFE">
            <w:pPr>
              <w:pStyle w:val="ListParagraph"/>
              <w:rPr>
                <w:lang w:eastAsia="en-US"/>
              </w:rPr>
            </w:pPr>
          </w:p>
          <w:p w:rsidR="009A3AFE" w:rsidRDefault="009A3AFE" w:rsidP="009A3AFE">
            <w:pPr>
              <w:pStyle w:val="ListParagraph"/>
              <w:rPr>
                <w:lang w:eastAsia="en-US"/>
              </w:rPr>
            </w:pPr>
            <w:r>
              <w:rPr>
                <w:lang w:eastAsia="en-US"/>
              </w:rPr>
              <w:t>Scheduled Bodies</w:t>
            </w:r>
          </w:p>
        </w:tc>
        <w:tc>
          <w:tcPr>
            <w:tcW w:w="2154" w:type="dxa"/>
            <w:vMerge w:val="restart"/>
            <w:tcBorders>
              <w:top w:val="single" w:sz="18" w:space="0" w:color="auto"/>
              <w:left w:val="single" w:sz="18" w:space="0" w:color="auto"/>
              <w:right w:val="single" w:sz="18" w:space="0" w:color="auto"/>
            </w:tcBorders>
          </w:tcPr>
          <w:p w:rsidR="009A3AFE" w:rsidRDefault="009A3AFE" w:rsidP="009A3AFE">
            <w:pPr>
              <w:jc w:val="right"/>
              <w:rPr>
                <w:lang w:eastAsia="en-US"/>
              </w:rPr>
            </w:pPr>
          </w:p>
          <w:p w:rsidR="009A3AFE" w:rsidRDefault="009A3AFE" w:rsidP="009A3AFE">
            <w:pPr>
              <w:jc w:val="right"/>
              <w:rPr>
                <w:lang w:eastAsia="en-US"/>
              </w:rPr>
            </w:pPr>
          </w:p>
          <w:p w:rsidR="009A3AFE" w:rsidRDefault="009A3AFE" w:rsidP="009A3AFE">
            <w:pPr>
              <w:jc w:val="right"/>
              <w:rPr>
                <w:lang w:eastAsia="en-US"/>
              </w:rPr>
            </w:pPr>
            <w:r>
              <w:rPr>
                <w:lang w:eastAsia="en-US"/>
              </w:rPr>
              <w:t>46,422</w:t>
            </w:r>
          </w:p>
          <w:p w:rsidR="009A3AFE" w:rsidRDefault="009A3AFE" w:rsidP="009A3AFE">
            <w:pPr>
              <w:jc w:val="right"/>
              <w:rPr>
                <w:lang w:eastAsia="en-US"/>
              </w:rPr>
            </w:pPr>
            <w:r>
              <w:rPr>
                <w:lang w:eastAsia="en-US"/>
              </w:rPr>
              <w:t>3,716</w:t>
            </w:r>
          </w:p>
        </w:tc>
        <w:tc>
          <w:tcPr>
            <w:tcW w:w="2126" w:type="dxa"/>
            <w:vMerge w:val="restart"/>
            <w:tcBorders>
              <w:top w:val="single" w:sz="18" w:space="0" w:color="auto"/>
              <w:left w:val="single" w:sz="18" w:space="0" w:color="auto"/>
              <w:right w:val="single" w:sz="18" w:space="0" w:color="auto"/>
            </w:tcBorders>
          </w:tcPr>
          <w:p w:rsidR="009A3AFE" w:rsidRDefault="009A3AFE" w:rsidP="009A3AFE">
            <w:pPr>
              <w:jc w:val="right"/>
              <w:rPr>
                <w:lang w:eastAsia="en-US"/>
              </w:rPr>
            </w:pPr>
          </w:p>
          <w:p w:rsidR="009A3AFE" w:rsidRDefault="009A3AFE" w:rsidP="009A3AFE">
            <w:pPr>
              <w:jc w:val="right"/>
              <w:rPr>
                <w:lang w:eastAsia="en-US"/>
              </w:rPr>
            </w:pPr>
          </w:p>
          <w:p w:rsidR="009A3AFE" w:rsidRDefault="009A3AFE" w:rsidP="009A3AFE">
            <w:pPr>
              <w:jc w:val="right"/>
              <w:rPr>
                <w:lang w:eastAsia="en-US"/>
              </w:rPr>
            </w:pPr>
            <w:r>
              <w:rPr>
                <w:lang w:eastAsia="en-US"/>
              </w:rPr>
              <w:t>47,912</w:t>
            </w:r>
          </w:p>
          <w:p w:rsidR="009A3AFE" w:rsidRDefault="009A3AFE" w:rsidP="009A3AFE">
            <w:pPr>
              <w:jc w:val="right"/>
              <w:rPr>
                <w:lang w:eastAsia="en-US"/>
              </w:rPr>
            </w:pPr>
            <w:r>
              <w:rPr>
                <w:lang w:eastAsia="en-US"/>
              </w:rPr>
              <w:t>3,781</w:t>
            </w:r>
          </w:p>
        </w:tc>
      </w:tr>
      <w:tr w:rsidR="009A3AFE" w:rsidTr="009A3AFE">
        <w:tc>
          <w:tcPr>
            <w:tcW w:w="3969" w:type="dxa"/>
            <w:tcBorders>
              <w:top w:val="single" w:sz="18" w:space="0" w:color="FFFFFF" w:themeColor="background1"/>
              <w:left w:val="single" w:sz="18" w:space="0" w:color="auto"/>
              <w:bottom w:val="single" w:sz="18" w:space="0" w:color="FFFFFF" w:themeColor="background1"/>
              <w:right w:val="single" w:sz="18" w:space="0" w:color="auto"/>
            </w:tcBorders>
          </w:tcPr>
          <w:p w:rsidR="009A3AFE" w:rsidRDefault="009A3AFE" w:rsidP="009A3AFE">
            <w:pPr>
              <w:pStyle w:val="ListParagraph"/>
              <w:rPr>
                <w:lang w:eastAsia="en-US"/>
              </w:rPr>
            </w:pPr>
            <w:r>
              <w:rPr>
                <w:lang w:eastAsia="en-US"/>
              </w:rPr>
              <w:t>Admitted Bodies</w:t>
            </w:r>
          </w:p>
        </w:tc>
        <w:tc>
          <w:tcPr>
            <w:tcW w:w="2154" w:type="dxa"/>
            <w:vMerge/>
            <w:tcBorders>
              <w:left w:val="single" w:sz="18" w:space="0" w:color="auto"/>
              <w:bottom w:val="single" w:sz="18" w:space="0" w:color="auto"/>
              <w:right w:val="single" w:sz="18" w:space="0" w:color="auto"/>
            </w:tcBorders>
          </w:tcPr>
          <w:p w:rsidR="009A3AFE" w:rsidRDefault="009A3AFE" w:rsidP="009A3AFE">
            <w:pPr>
              <w:jc w:val="right"/>
              <w:rPr>
                <w:lang w:eastAsia="en-US"/>
              </w:rPr>
            </w:pPr>
          </w:p>
        </w:tc>
        <w:tc>
          <w:tcPr>
            <w:tcW w:w="2126" w:type="dxa"/>
            <w:vMerge/>
            <w:tcBorders>
              <w:left w:val="single" w:sz="18" w:space="0" w:color="auto"/>
              <w:bottom w:val="single" w:sz="18" w:space="0" w:color="auto"/>
              <w:right w:val="single" w:sz="18" w:space="0" w:color="auto"/>
            </w:tcBorders>
          </w:tcPr>
          <w:p w:rsidR="009A3AFE" w:rsidRDefault="009A3AFE" w:rsidP="009A3AFE">
            <w:pPr>
              <w:jc w:val="right"/>
              <w:rPr>
                <w:lang w:eastAsia="en-US"/>
              </w:rPr>
            </w:pPr>
          </w:p>
        </w:tc>
      </w:tr>
      <w:tr w:rsidR="009A3AFE" w:rsidTr="009A3AFE">
        <w:tc>
          <w:tcPr>
            <w:tcW w:w="3969" w:type="dxa"/>
            <w:tcBorders>
              <w:top w:val="single" w:sz="18" w:space="0" w:color="FFFFFF" w:themeColor="background1"/>
              <w:left w:val="single" w:sz="18" w:space="0" w:color="auto"/>
              <w:bottom w:val="single" w:sz="18" w:space="0" w:color="FFFFFF" w:themeColor="background1"/>
              <w:right w:val="single" w:sz="18" w:space="0" w:color="auto"/>
            </w:tcBorders>
          </w:tcPr>
          <w:p w:rsidR="009A3AFE" w:rsidRPr="001D5977" w:rsidRDefault="009A3AFE" w:rsidP="009A3AFE">
            <w:pPr>
              <w:pStyle w:val="ListParagraph"/>
              <w:rPr>
                <w:b/>
                <w:lang w:eastAsia="en-US"/>
              </w:rPr>
            </w:pPr>
            <w:r w:rsidRPr="001D5977">
              <w:rPr>
                <w:b/>
                <w:lang w:eastAsia="en-US"/>
              </w:rPr>
              <w:t>Total</w:t>
            </w:r>
          </w:p>
        </w:tc>
        <w:tc>
          <w:tcPr>
            <w:tcW w:w="2154" w:type="dxa"/>
            <w:tcBorders>
              <w:top w:val="single" w:sz="18" w:space="0" w:color="auto"/>
              <w:left w:val="single" w:sz="18" w:space="0" w:color="auto"/>
              <w:bottom w:val="single" w:sz="18" w:space="0" w:color="auto"/>
              <w:right w:val="single" w:sz="18" w:space="0" w:color="auto"/>
            </w:tcBorders>
          </w:tcPr>
          <w:p w:rsidR="009A3AFE" w:rsidRPr="001D5977" w:rsidRDefault="009A3AFE" w:rsidP="009A3AFE">
            <w:pPr>
              <w:jc w:val="right"/>
              <w:rPr>
                <w:b/>
                <w:lang w:eastAsia="en-US"/>
              </w:rPr>
            </w:pPr>
            <w:r>
              <w:rPr>
                <w:b/>
                <w:lang w:eastAsia="en-US"/>
              </w:rPr>
              <w:t>50,138</w:t>
            </w:r>
          </w:p>
        </w:tc>
        <w:tc>
          <w:tcPr>
            <w:tcW w:w="2126" w:type="dxa"/>
            <w:tcBorders>
              <w:top w:val="single" w:sz="18" w:space="0" w:color="auto"/>
              <w:left w:val="single" w:sz="18" w:space="0" w:color="auto"/>
              <w:bottom w:val="single" w:sz="18" w:space="0" w:color="auto"/>
              <w:right w:val="single" w:sz="18" w:space="0" w:color="auto"/>
            </w:tcBorders>
          </w:tcPr>
          <w:p w:rsidR="009A3AFE" w:rsidRPr="001D5977" w:rsidRDefault="009A3AFE" w:rsidP="009A3AFE">
            <w:pPr>
              <w:jc w:val="right"/>
              <w:rPr>
                <w:b/>
                <w:lang w:eastAsia="en-US"/>
              </w:rPr>
            </w:pPr>
            <w:r w:rsidRPr="001D5977">
              <w:rPr>
                <w:b/>
                <w:lang w:eastAsia="en-US"/>
              </w:rPr>
              <w:t>51,693</w:t>
            </w:r>
          </w:p>
        </w:tc>
      </w:tr>
      <w:tr w:rsidR="009A3AFE" w:rsidTr="009A3AFE">
        <w:tc>
          <w:tcPr>
            <w:tcW w:w="3969" w:type="dxa"/>
            <w:tcBorders>
              <w:top w:val="single" w:sz="18" w:space="0" w:color="FFFFFF" w:themeColor="background1"/>
              <w:left w:val="single" w:sz="18" w:space="0" w:color="auto"/>
              <w:bottom w:val="single" w:sz="18" w:space="0" w:color="FFFFFF" w:themeColor="background1"/>
              <w:right w:val="single" w:sz="18" w:space="0" w:color="auto"/>
            </w:tcBorders>
          </w:tcPr>
          <w:p w:rsidR="009A3AFE" w:rsidRDefault="009A3AFE" w:rsidP="00C2774F">
            <w:pPr>
              <w:pStyle w:val="ListParagraph"/>
              <w:numPr>
                <w:ilvl w:val="0"/>
                <w:numId w:val="25"/>
              </w:numPr>
              <w:spacing w:before="240"/>
              <w:ind w:hanging="686"/>
              <w:rPr>
                <w:lang w:eastAsia="en-US"/>
              </w:rPr>
            </w:pPr>
            <w:r>
              <w:rPr>
                <w:lang w:eastAsia="en-US"/>
              </w:rPr>
              <w:t>Pensioners</w:t>
            </w:r>
          </w:p>
          <w:p w:rsidR="009A3AFE" w:rsidRDefault="009A3AFE" w:rsidP="009A3AFE">
            <w:pPr>
              <w:pStyle w:val="ListParagraph"/>
              <w:rPr>
                <w:lang w:eastAsia="en-US"/>
              </w:rPr>
            </w:pPr>
          </w:p>
          <w:p w:rsidR="009A3AFE" w:rsidRDefault="009A3AFE" w:rsidP="009A3AFE">
            <w:pPr>
              <w:pStyle w:val="ListParagraph"/>
              <w:rPr>
                <w:lang w:eastAsia="en-US"/>
              </w:rPr>
            </w:pPr>
            <w:r>
              <w:rPr>
                <w:lang w:eastAsia="en-US"/>
              </w:rPr>
              <w:t>Pensions in Payment</w:t>
            </w:r>
          </w:p>
        </w:tc>
        <w:tc>
          <w:tcPr>
            <w:tcW w:w="2154" w:type="dxa"/>
            <w:vMerge w:val="restart"/>
            <w:tcBorders>
              <w:top w:val="single" w:sz="18" w:space="0" w:color="FFFFFF" w:themeColor="background1"/>
              <w:left w:val="single" w:sz="18" w:space="0" w:color="auto"/>
              <w:right w:val="single" w:sz="18" w:space="0" w:color="auto"/>
            </w:tcBorders>
          </w:tcPr>
          <w:p w:rsidR="009A3AFE" w:rsidRDefault="009A3AFE" w:rsidP="009A3AFE">
            <w:pPr>
              <w:jc w:val="right"/>
              <w:rPr>
                <w:lang w:eastAsia="en-US"/>
              </w:rPr>
            </w:pPr>
          </w:p>
          <w:p w:rsidR="009A3AFE" w:rsidRDefault="009A3AFE" w:rsidP="009A3AFE">
            <w:pPr>
              <w:jc w:val="right"/>
              <w:rPr>
                <w:lang w:eastAsia="en-US"/>
              </w:rPr>
            </w:pPr>
          </w:p>
          <w:p w:rsidR="009A3AFE" w:rsidRDefault="009A3AFE" w:rsidP="009A3AFE">
            <w:pPr>
              <w:jc w:val="right"/>
              <w:rPr>
                <w:lang w:eastAsia="en-US"/>
              </w:rPr>
            </w:pPr>
          </w:p>
          <w:p w:rsidR="009A3AFE" w:rsidRDefault="009A3AFE" w:rsidP="009A3AFE">
            <w:pPr>
              <w:jc w:val="right"/>
              <w:rPr>
                <w:lang w:eastAsia="en-US"/>
              </w:rPr>
            </w:pPr>
            <w:r>
              <w:rPr>
                <w:lang w:eastAsia="en-US"/>
              </w:rPr>
              <w:t>39,933</w:t>
            </w:r>
          </w:p>
          <w:p w:rsidR="009A3AFE" w:rsidRDefault="009A3AFE" w:rsidP="009A3AFE">
            <w:pPr>
              <w:jc w:val="right"/>
              <w:rPr>
                <w:lang w:eastAsia="en-US"/>
              </w:rPr>
            </w:pPr>
            <w:r>
              <w:rPr>
                <w:lang w:eastAsia="en-US"/>
              </w:rPr>
              <w:t>47,526</w:t>
            </w:r>
          </w:p>
        </w:tc>
        <w:tc>
          <w:tcPr>
            <w:tcW w:w="2126" w:type="dxa"/>
            <w:vMerge w:val="restart"/>
            <w:tcBorders>
              <w:top w:val="single" w:sz="18" w:space="0" w:color="FFFFFF" w:themeColor="background1"/>
              <w:left w:val="single" w:sz="18" w:space="0" w:color="auto"/>
              <w:right w:val="single" w:sz="18" w:space="0" w:color="auto"/>
            </w:tcBorders>
          </w:tcPr>
          <w:p w:rsidR="009A3AFE" w:rsidRDefault="009A3AFE" w:rsidP="009A3AFE">
            <w:pPr>
              <w:jc w:val="right"/>
              <w:rPr>
                <w:lang w:eastAsia="en-US"/>
              </w:rPr>
            </w:pPr>
          </w:p>
          <w:p w:rsidR="009A3AFE" w:rsidRDefault="009A3AFE" w:rsidP="009A3AFE">
            <w:pPr>
              <w:jc w:val="right"/>
              <w:rPr>
                <w:lang w:eastAsia="en-US"/>
              </w:rPr>
            </w:pPr>
          </w:p>
          <w:p w:rsidR="009A3AFE" w:rsidRDefault="009A3AFE" w:rsidP="009A3AFE">
            <w:pPr>
              <w:jc w:val="right"/>
              <w:rPr>
                <w:lang w:eastAsia="en-US"/>
              </w:rPr>
            </w:pPr>
          </w:p>
          <w:p w:rsidR="009A3AFE" w:rsidRDefault="009A3AFE" w:rsidP="009A3AFE">
            <w:pPr>
              <w:jc w:val="right"/>
              <w:rPr>
                <w:lang w:eastAsia="en-US"/>
              </w:rPr>
            </w:pPr>
            <w:r>
              <w:rPr>
                <w:lang w:eastAsia="en-US"/>
              </w:rPr>
              <w:t>37,632</w:t>
            </w:r>
          </w:p>
          <w:p w:rsidR="009A3AFE" w:rsidRDefault="009A3AFE" w:rsidP="009A3AFE">
            <w:pPr>
              <w:jc w:val="right"/>
              <w:rPr>
                <w:lang w:eastAsia="en-US"/>
              </w:rPr>
            </w:pPr>
            <w:r>
              <w:rPr>
                <w:lang w:eastAsia="en-US"/>
              </w:rPr>
              <w:t>44,928</w:t>
            </w:r>
          </w:p>
        </w:tc>
      </w:tr>
      <w:tr w:rsidR="009A3AFE" w:rsidTr="009A3AFE">
        <w:tc>
          <w:tcPr>
            <w:tcW w:w="3969" w:type="dxa"/>
            <w:tcBorders>
              <w:top w:val="single" w:sz="18" w:space="0" w:color="FFFFFF" w:themeColor="background1"/>
              <w:left w:val="single" w:sz="18" w:space="0" w:color="auto"/>
              <w:bottom w:val="single" w:sz="18" w:space="0" w:color="FFFFFF" w:themeColor="background1"/>
              <w:right w:val="single" w:sz="18" w:space="0" w:color="auto"/>
            </w:tcBorders>
          </w:tcPr>
          <w:p w:rsidR="009A3AFE" w:rsidRDefault="009A3AFE" w:rsidP="009A3AFE">
            <w:pPr>
              <w:pStyle w:val="ListParagraph"/>
              <w:rPr>
                <w:lang w:eastAsia="en-US"/>
              </w:rPr>
            </w:pPr>
            <w:r>
              <w:rPr>
                <w:lang w:eastAsia="en-US"/>
              </w:rPr>
              <w:t>Preserved Pensions</w:t>
            </w:r>
          </w:p>
        </w:tc>
        <w:tc>
          <w:tcPr>
            <w:tcW w:w="2154" w:type="dxa"/>
            <w:vMerge/>
            <w:tcBorders>
              <w:left w:val="single" w:sz="18" w:space="0" w:color="auto"/>
              <w:bottom w:val="single" w:sz="18" w:space="0" w:color="auto"/>
              <w:right w:val="single" w:sz="18" w:space="0" w:color="auto"/>
            </w:tcBorders>
          </w:tcPr>
          <w:p w:rsidR="009A3AFE" w:rsidRDefault="009A3AFE" w:rsidP="009A3AFE">
            <w:pPr>
              <w:jc w:val="right"/>
              <w:rPr>
                <w:lang w:eastAsia="en-US"/>
              </w:rPr>
            </w:pPr>
          </w:p>
        </w:tc>
        <w:tc>
          <w:tcPr>
            <w:tcW w:w="2126" w:type="dxa"/>
            <w:vMerge/>
            <w:tcBorders>
              <w:left w:val="single" w:sz="18" w:space="0" w:color="auto"/>
              <w:bottom w:val="single" w:sz="18" w:space="0" w:color="auto"/>
              <w:right w:val="single" w:sz="18" w:space="0" w:color="auto"/>
            </w:tcBorders>
          </w:tcPr>
          <w:p w:rsidR="009A3AFE" w:rsidRDefault="009A3AFE" w:rsidP="009A3AFE">
            <w:pPr>
              <w:jc w:val="right"/>
              <w:rPr>
                <w:lang w:eastAsia="en-US"/>
              </w:rPr>
            </w:pPr>
          </w:p>
        </w:tc>
      </w:tr>
      <w:tr w:rsidR="009A3AFE" w:rsidRPr="001D5977" w:rsidTr="009A3AFE">
        <w:tc>
          <w:tcPr>
            <w:tcW w:w="3969" w:type="dxa"/>
            <w:tcBorders>
              <w:top w:val="single" w:sz="18" w:space="0" w:color="FFFFFF" w:themeColor="background1"/>
              <w:left w:val="single" w:sz="18" w:space="0" w:color="auto"/>
              <w:bottom w:val="single" w:sz="18" w:space="0" w:color="auto"/>
              <w:right w:val="single" w:sz="18" w:space="0" w:color="auto"/>
            </w:tcBorders>
          </w:tcPr>
          <w:p w:rsidR="009A3AFE" w:rsidRPr="001D5977" w:rsidRDefault="009A3AFE" w:rsidP="009A3AFE">
            <w:pPr>
              <w:pStyle w:val="ListParagraph"/>
              <w:rPr>
                <w:b/>
                <w:lang w:eastAsia="en-US"/>
              </w:rPr>
            </w:pPr>
            <w:r w:rsidRPr="001D5977">
              <w:rPr>
                <w:b/>
                <w:lang w:eastAsia="en-US"/>
              </w:rPr>
              <w:t>Total</w:t>
            </w:r>
          </w:p>
        </w:tc>
        <w:tc>
          <w:tcPr>
            <w:tcW w:w="2154" w:type="dxa"/>
            <w:tcBorders>
              <w:top w:val="single" w:sz="18" w:space="0" w:color="auto"/>
              <w:left w:val="single" w:sz="18" w:space="0" w:color="auto"/>
              <w:bottom w:val="single" w:sz="18" w:space="0" w:color="auto"/>
              <w:right w:val="single" w:sz="18" w:space="0" w:color="auto"/>
            </w:tcBorders>
          </w:tcPr>
          <w:p w:rsidR="009A3AFE" w:rsidRPr="001D5977" w:rsidRDefault="009A3AFE" w:rsidP="009A3AFE">
            <w:pPr>
              <w:jc w:val="right"/>
              <w:rPr>
                <w:b/>
                <w:lang w:eastAsia="en-US"/>
              </w:rPr>
            </w:pPr>
            <w:r>
              <w:rPr>
                <w:b/>
                <w:lang w:eastAsia="en-US"/>
              </w:rPr>
              <w:t>87,459</w:t>
            </w:r>
          </w:p>
        </w:tc>
        <w:tc>
          <w:tcPr>
            <w:tcW w:w="2126" w:type="dxa"/>
            <w:tcBorders>
              <w:top w:val="single" w:sz="18" w:space="0" w:color="auto"/>
              <w:left w:val="single" w:sz="18" w:space="0" w:color="auto"/>
              <w:bottom w:val="single" w:sz="18" w:space="0" w:color="auto"/>
              <w:right w:val="single" w:sz="18" w:space="0" w:color="auto"/>
            </w:tcBorders>
          </w:tcPr>
          <w:p w:rsidR="009A3AFE" w:rsidRPr="001D5977" w:rsidRDefault="009A3AFE" w:rsidP="009A3AFE">
            <w:pPr>
              <w:jc w:val="right"/>
              <w:rPr>
                <w:b/>
                <w:lang w:eastAsia="en-US"/>
              </w:rPr>
            </w:pPr>
            <w:r w:rsidRPr="001D5977">
              <w:rPr>
                <w:b/>
                <w:lang w:eastAsia="en-US"/>
              </w:rPr>
              <w:t>82,560</w:t>
            </w:r>
          </w:p>
        </w:tc>
      </w:tr>
    </w:tbl>
    <w:p w:rsidR="009A3AFE" w:rsidRDefault="009A3AFE" w:rsidP="009A3AFE">
      <w:pPr>
        <w:rPr>
          <w:lang w:eastAsia="en-US"/>
        </w:rPr>
      </w:pPr>
    </w:p>
    <w:p w:rsidR="009A3AFE" w:rsidRPr="00F130FE" w:rsidRDefault="009A3AFE" w:rsidP="009A3AFE">
      <w:pPr>
        <w:pStyle w:val="Heading1"/>
        <w:rPr>
          <w:sz w:val="24"/>
          <w:szCs w:val="24"/>
        </w:rPr>
      </w:pPr>
      <w:r w:rsidRPr="00F130FE">
        <w:rPr>
          <w:sz w:val="24"/>
          <w:szCs w:val="24"/>
        </w:rPr>
        <w:t>Member Organisations</w:t>
      </w:r>
    </w:p>
    <w:tbl>
      <w:tblPr>
        <w:tblW w:w="11072" w:type="dxa"/>
        <w:tblInd w:w="93" w:type="dxa"/>
        <w:tblLook w:val="0000"/>
      </w:tblPr>
      <w:tblGrid>
        <w:gridCol w:w="4977"/>
        <w:gridCol w:w="6095"/>
      </w:tblGrid>
      <w:tr w:rsidR="009A3AFE" w:rsidRPr="00166665" w:rsidTr="009A3AFE">
        <w:trPr>
          <w:trHeight w:val="411"/>
        </w:trPr>
        <w:tc>
          <w:tcPr>
            <w:tcW w:w="4977" w:type="dxa"/>
            <w:tcBorders>
              <w:top w:val="nil"/>
              <w:left w:val="nil"/>
              <w:bottom w:val="nil"/>
              <w:right w:val="nil"/>
            </w:tcBorders>
            <w:shd w:val="clear" w:color="auto" w:fill="auto"/>
            <w:vAlign w:val="center"/>
          </w:tcPr>
          <w:p w:rsidR="009A3AFE" w:rsidRPr="00166665" w:rsidRDefault="009A3AFE" w:rsidP="009A3AFE">
            <w:pPr>
              <w:rPr>
                <w:rFonts w:cs="Arial"/>
                <w:b/>
                <w:bCs/>
                <w:sz w:val="20"/>
              </w:rPr>
            </w:pPr>
            <w:r w:rsidRPr="00166665">
              <w:rPr>
                <w:rFonts w:cs="Arial"/>
                <w:b/>
                <w:bCs/>
                <w:sz w:val="20"/>
              </w:rPr>
              <w:t>Scheduled Bodies</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b/>
                <w:bCs/>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Accrington Academy</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Ribble Valley Borough Council</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Accrington &amp; Rossendale College</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Ripley St Thomas CE (Academy)</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All Saints CE Primary School Academy</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Rossendale Borough Council</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Barnoldswick Town Council</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Runshaw College</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091E8D">
              <w:rPr>
                <w:rFonts w:cs="Arial"/>
                <w:sz w:val="20"/>
              </w:rPr>
              <w:t>Belthorn Primary (Academy)</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South Ribble Borough Council</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091E8D">
              <w:rPr>
                <w:rFonts w:cs="Arial"/>
                <w:sz w:val="20"/>
              </w:rPr>
              <w:t>Bishop Rawstorne High Academy</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St Annes on Sea Town Council</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Blackburn College</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6311CE">
              <w:rPr>
                <w:rFonts w:cs="Arial"/>
                <w:sz w:val="20"/>
              </w:rPr>
              <w:t>St Christopher's CE (Academy</w:t>
            </w:r>
            <w:r>
              <w:rPr>
                <w:rFonts w:cs="Arial"/>
                <w:sz w:val="20"/>
              </w:rPr>
              <w:t>)</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Blackburn with Darwen Borough Council</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St Mary's College, Blackburn</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Blackpool &amp; Fylde College</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6311CE">
              <w:rPr>
                <w:rFonts w:cs="Arial"/>
                <w:sz w:val="20"/>
              </w:rPr>
              <w:t>St Michael's CE High (Academy)</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 xml:space="preserve">Blackpool Borough Council </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6311CE">
              <w:rPr>
                <w:rFonts w:cs="Arial"/>
                <w:sz w:val="20"/>
              </w:rPr>
              <w:t>St Wilfrid's CE Academy</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Blackpool Coastal Housing</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6311CE">
              <w:rPr>
                <w:rFonts w:cs="Arial"/>
                <w:sz w:val="20"/>
              </w:rPr>
              <w:t>Tarleton Academy</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Blackpool Sixth Form College</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University of Central Lancs</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091E8D">
              <w:rPr>
                <w:rFonts w:cs="Arial"/>
                <w:sz w:val="20"/>
              </w:rPr>
              <w:t>Bowland High Academy Trust</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West Lancs District Council</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Burnley Borough Council</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6311CE">
              <w:rPr>
                <w:rFonts w:cs="Arial"/>
                <w:sz w:val="20"/>
              </w:rPr>
              <w:t>Westcliff Primary Academy</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Burnley College</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Whitworth Town Council</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Cardinal Newman College</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Wyre Borough Council</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Catterall Parish Council</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Chorley Borough Council</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b/>
                <w:bCs/>
                <w:sz w:val="20"/>
              </w:rPr>
            </w:pPr>
            <w:r w:rsidRPr="00166665">
              <w:rPr>
                <w:rFonts w:cs="Arial"/>
                <w:b/>
                <w:bCs/>
                <w:sz w:val="20"/>
              </w:rPr>
              <w:t>Admitted Bodies</w:t>
            </w:r>
          </w:p>
        </w:tc>
      </w:tr>
      <w:tr w:rsidR="009A3AFE" w:rsidRPr="00166665" w:rsidTr="009A3AFE">
        <w:trPr>
          <w:trHeight w:val="128"/>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Clitheroe Royal Grammar School (Academy)</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ABM Catering Ltd</w:t>
            </w:r>
          </w:p>
        </w:tc>
      </w:tr>
      <w:tr w:rsidR="009A3AFE" w:rsidRPr="00166665" w:rsidTr="009A3AFE">
        <w:trPr>
          <w:trHeight w:val="330"/>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Darwen Aldridge Community Academy</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Alternative Futures</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 xml:space="preserve">Edge Hill University </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Alzheimers Society</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Fulwood Academy</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Andron Contract Services Ltd (</w:t>
            </w:r>
            <w:r>
              <w:rPr>
                <w:rFonts w:cs="Arial"/>
                <w:sz w:val="20"/>
              </w:rPr>
              <w:t>City of Preston</w:t>
            </w:r>
            <w:r w:rsidRPr="00166665">
              <w:rPr>
                <w:rFonts w:cs="Arial"/>
                <w:sz w:val="20"/>
              </w:rPr>
              <w:t>)</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Fylde Borough Council</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F468BC">
              <w:rPr>
                <w:rFonts w:cs="Arial"/>
                <w:sz w:val="20"/>
              </w:rPr>
              <w:t>Andron Contract Services Ltd (former solar contracts)</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091E8D">
              <w:rPr>
                <w:rFonts w:cs="Arial"/>
                <w:sz w:val="20"/>
              </w:rPr>
              <w:t>Garstang Community Academy</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Andron Contract Services Ltd (</w:t>
            </w:r>
            <w:r>
              <w:rPr>
                <w:rFonts w:cs="Arial"/>
                <w:sz w:val="20"/>
              </w:rPr>
              <w:t>Glenburn</w:t>
            </w:r>
            <w:r w:rsidRPr="00166665">
              <w:rPr>
                <w:rFonts w:cs="Arial"/>
                <w:sz w:val="20"/>
              </w:rPr>
              <w:t>)</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Garstang Town Council</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Andron Contract Services Ltd (Kennington)</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Default="009A3AFE" w:rsidP="009A3AFE">
            <w:pPr>
              <w:rPr>
                <w:rFonts w:cs="Arial"/>
                <w:sz w:val="20"/>
              </w:rPr>
            </w:pPr>
            <w:r>
              <w:rPr>
                <w:rFonts w:cs="Arial"/>
                <w:sz w:val="20"/>
              </w:rPr>
              <w:t>Hambleton Primary Academy</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Andron Contract Services Ltd (Ribblesdale)</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091E8D">
              <w:rPr>
                <w:rFonts w:cs="Arial"/>
                <w:sz w:val="20"/>
              </w:rPr>
              <w:t>Hodgson Academy</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Andron Contract Services Ltd (Southlands)</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Hyndburn Borough Council</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Arnold Schools Ltd</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Kirkland Parish Council</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Beaufort Avenue Day Care Centre</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Lancashire County Council</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Blackburn Diocesan Adoption Agency</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Lancashire Fire &amp; Rescue Service</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Blackburn NHS (PCT)</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Lancashire Police Authority</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Blackpool &amp; Fylde MIND Association</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 xml:space="preserve">Lancashire Probation </w:t>
            </w:r>
            <w:r>
              <w:rPr>
                <w:rFonts w:cs="Arial"/>
                <w:sz w:val="20"/>
              </w:rPr>
              <w:t>Trust</w:t>
            </w:r>
            <w:r w:rsidRPr="00166665">
              <w:rPr>
                <w:rFonts w:cs="Arial"/>
                <w:sz w:val="20"/>
              </w:rPr>
              <w:t xml:space="preserve"> </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Blackpool &amp; Fylde Society for the Blind</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Lancashire Sports Partnership</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Blackpool Airport Ltd (post 05/07/2004)</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Lancashire Valuation Tribunal</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Blackpool Town Centre Business Improvement District Ltd</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091E8D">
              <w:rPr>
                <w:rFonts w:cs="Arial"/>
                <w:sz w:val="20"/>
              </w:rPr>
              <w:t>Lancashire Workforce Development Partnership</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Blackpool Zoo (Grant Leisure)</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Lancaster &amp; Morec</w:t>
            </w:r>
            <w:r>
              <w:rPr>
                <w:rFonts w:cs="Arial"/>
                <w:sz w:val="20"/>
              </w:rPr>
              <w:t>a</w:t>
            </w:r>
            <w:r w:rsidRPr="00166665">
              <w:rPr>
                <w:rFonts w:cs="Arial"/>
                <w:sz w:val="20"/>
              </w:rPr>
              <w:t>mbe College</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Bootstrap Enterprises Ltd</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Lancaster City Council</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Bulloughs Contract Services Ltd (St Stephens)</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Default="009A3AFE" w:rsidP="009A3AFE">
            <w:pPr>
              <w:rPr>
                <w:rFonts w:cs="Arial"/>
                <w:sz w:val="20"/>
              </w:rPr>
            </w:pPr>
            <w:r>
              <w:rPr>
                <w:rFonts w:cs="Arial"/>
                <w:sz w:val="20"/>
              </w:rPr>
              <w:t>Lancaster Girls Grammar School (Academy)</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Bulloughs Contract Services Ltd (St James)</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Default="009A3AFE" w:rsidP="009A3AFE">
            <w:pPr>
              <w:rPr>
                <w:rFonts w:cs="Arial"/>
                <w:sz w:val="20"/>
              </w:rPr>
            </w:pPr>
            <w:r w:rsidRPr="006311CE">
              <w:rPr>
                <w:rFonts w:cs="Arial"/>
                <w:sz w:val="20"/>
              </w:rPr>
              <w:t>Lancaster RGS (Academy)</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Bulloughs Contract Services Ltd (Whalley)</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6311CE">
              <w:rPr>
                <w:rFonts w:cs="Arial"/>
                <w:sz w:val="20"/>
              </w:rPr>
              <w:t>Lostock Hall Academy Trust</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Bulloughs Contract Services Ltd (Our Lady)</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Myerscough College</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Bulloughs Contract Services Ltd (St Marys)</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Nelson &amp; Colne College</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Bulloughs Contract Services Ltd (St Augustine)</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6311CE">
              <w:rPr>
                <w:rFonts w:cs="Arial"/>
                <w:sz w:val="20"/>
              </w:rPr>
              <w:t>Parbold Douglas CE Academy</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Bulloughs Contract Services Ltd (Highfield)</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Pendle Borough Council</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Calico Housing Ltd</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Penwortham Town Council</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Capita Business Services (Blackburn)</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 xml:space="preserve">Pilling Parish Council </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Capita Business Services (Rossendale)</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Preston City Council</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Caritas Care Ltd</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Preston College</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Chorley Community Housing Ltd</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Preston Vision Ltd</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Church Road Day Care Unit</w:t>
            </w:r>
          </w:p>
        </w:tc>
      </w:tr>
      <w:tr w:rsidR="009A3AFE" w:rsidRPr="00166665" w:rsidTr="009A3AFE">
        <w:trPr>
          <w:trHeight w:val="561"/>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b/>
                <w:bCs/>
                <w:sz w:val="20"/>
              </w:rPr>
              <w:lastRenderedPageBreak/>
              <w:t xml:space="preserve">Admitted Bodies </w:t>
            </w:r>
          </w:p>
        </w:tc>
        <w:tc>
          <w:tcPr>
            <w:tcW w:w="6095" w:type="dxa"/>
            <w:tcBorders>
              <w:top w:val="nil"/>
              <w:left w:val="nil"/>
              <w:bottom w:val="nil"/>
              <w:right w:val="nil"/>
            </w:tcBorders>
            <w:shd w:val="clear" w:color="auto" w:fill="auto"/>
            <w:vAlign w:val="center"/>
          </w:tcPr>
          <w:p w:rsidR="009A3AFE" w:rsidRDefault="009A3AFE" w:rsidP="009A3AFE">
            <w:pPr>
              <w:rPr>
                <w:rFonts w:cs="Arial"/>
                <w:b/>
                <w:bCs/>
                <w:sz w:val="20"/>
              </w:rPr>
            </w:pPr>
            <w:r>
              <w:rPr>
                <w:rFonts w:cs="Arial"/>
                <w:b/>
                <w:bCs/>
                <w:sz w:val="20"/>
              </w:rPr>
              <w:t xml:space="preserve">Admitted Bodies </w:t>
            </w:r>
          </w:p>
          <w:p w:rsidR="009A3AFE" w:rsidRPr="00166665" w:rsidRDefault="009A3AFE" w:rsidP="009A3AFE">
            <w:pPr>
              <w:rPr>
                <w:rFonts w:cs="Arial"/>
                <w:b/>
                <w:bCs/>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Commission for Education &amp; Formation</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Rossendale Leisure Trust</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Community and Business Partners CIC</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Signpost MARC Ltd</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Community Council of Lancashire</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South Ribble Community Leisure Ltd </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Community Gateway Association</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Sunguard Vivista Ltd </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CX Ltd</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Surestart Hyndburn</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Contour Housing Group</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Twin Valley Homes Ltd </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Consultant Caterers Ltd</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University of Cumbria</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Creative Support Ltd</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Vita Lend Lease</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F468BC">
              <w:rPr>
                <w:rFonts w:cs="Arial"/>
                <w:sz w:val="20"/>
              </w:rPr>
              <w:t>Creative Support Ltd (Midway)</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West Lancs Community Leisure Ltd</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CSB Contract Services Ltd</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Wyre Housing Association </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Danfo UK Ltd</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Enterprise Managed Services Ltd</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b/>
                <w:sz w:val="20"/>
              </w:rPr>
              <w:t>Former Employees</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E ON UK Plc</w:t>
            </w:r>
          </w:p>
        </w:tc>
        <w:tc>
          <w:tcPr>
            <w:tcW w:w="6095" w:type="dxa"/>
            <w:tcBorders>
              <w:top w:val="nil"/>
              <w:left w:val="nil"/>
              <w:bottom w:val="nil"/>
              <w:right w:val="nil"/>
            </w:tcBorders>
            <w:shd w:val="clear" w:color="auto" w:fill="auto"/>
            <w:vAlign w:val="center"/>
          </w:tcPr>
          <w:p w:rsidR="009A3AFE" w:rsidRPr="00A91627" w:rsidRDefault="009A3AFE" w:rsidP="009A3AFE">
            <w:pPr>
              <w:rPr>
                <w:rFonts w:cs="Arial"/>
                <w:bCs/>
                <w:sz w:val="20"/>
              </w:rPr>
            </w:pPr>
            <w:r>
              <w:rPr>
                <w:rFonts w:cs="Arial"/>
                <w:bCs/>
                <w:sz w:val="20"/>
              </w:rPr>
              <w:t>Andron Contract Services Ltd (Worden Sports College)</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Eric Wright Commercial Ltd</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Blackpool Airport Ltd (pre 05/07/2004)</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Fylde Coast YMCA (Fylde)</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Blackpool and Fylde Society for the Deaf</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Fylde Community Link</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Blackburn Borough Transport Ltd </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Galloway Society For The Blind</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Blackpool Challenge Partnership</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166665">
              <w:rPr>
                <w:rFonts w:cs="Arial"/>
                <w:sz w:val="20"/>
              </w:rPr>
              <w:t>Housing Pendle Ltd</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Blackpool Council for Voluntary Services </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Hyndburn Homes Ltd </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Bulloughs Contract Services Ltd (St Albans)</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I Care</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Bulloughs Contract Services Ltd (Glenburn)</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Jewson Ltd</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Burnley &amp; Pendle Development Association </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Kirkham Grammar School (Independent)</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Burnley and Pendle Joint Transport Committee</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Lancashire and Blackpool Tourist Board </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Burnley and Pendle Transport Company Ltd </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Lancashire Branch of Unison</w:t>
            </w:r>
          </w:p>
        </w:tc>
        <w:tc>
          <w:tcPr>
            <w:tcW w:w="6095" w:type="dxa"/>
            <w:tcBorders>
              <w:top w:val="nil"/>
              <w:left w:val="nil"/>
              <w:bottom w:val="nil"/>
              <w:right w:val="nil"/>
            </w:tcBorders>
            <w:shd w:val="clear" w:color="auto" w:fill="auto"/>
            <w:vAlign w:val="center"/>
          </w:tcPr>
          <w:p w:rsidR="009A3AFE" w:rsidRPr="00A91627" w:rsidRDefault="009A3AFE" w:rsidP="009A3AFE">
            <w:pPr>
              <w:rPr>
                <w:rFonts w:cs="Arial"/>
                <w:sz w:val="20"/>
              </w:rPr>
            </w:pPr>
            <w:r w:rsidRPr="00A91627">
              <w:rPr>
                <w:rFonts w:cs="Arial"/>
                <w:sz w:val="20"/>
              </w:rPr>
              <w:t xml:space="preserve">Burnley District Citizens Advice Service </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Lancaster University</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Burton Manor Residential College</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Leisure in Hyndburn </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Carden Croft and Co Ltd</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Liberata UK Ltd (Chorley </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Central Lancashire Development Corporation </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Liberata UK Ltd (Pendle)</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Clitheroe Town Council </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Lytham School Foundation</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Connaught Environmental Ltd (Blackpool BC)</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Mack Trading Ltd </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Connaught Enviromental Ltd (Blackpool Coastal)</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Mellors Catering Services Ltd (Bishop Rawsthorne)</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Department of Transport </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Mellors Catering Services Ltd (Hambleton Primary)</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Dignity Funerals Ltd</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Mellors Catering Services Ltd(Worden Sports College)</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Elm House Management Committee</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Mellors Catering Services Ltd (Wyre)</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Enterprise</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NIC Services Group Ltd NSL Ltd (Lancaster) </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Ex National Water Council</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NSL Ltd</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Ex NHS</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New Directions</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Fylde Borough Transport Ltd </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New Fylde Housing </w:t>
            </w:r>
          </w:p>
        </w:tc>
        <w:tc>
          <w:tcPr>
            <w:tcW w:w="6095" w:type="dxa"/>
            <w:tcBorders>
              <w:top w:val="nil"/>
              <w:left w:val="nil"/>
              <w:bottom w:val="nil"/>
              <w:right w:val="nil"/>
            </w:tcBorders>
            <w:shd w:val="clear" w:color="auto" w:fill="auto"/>
            <w:vAlign w:val="center"/>
          </w:tcPr>
          <w:p w:rsidR="009A3AFE" w:rsidRPr="00D93EB2" w:rsidRDefault="009A3AFE" w:rsidP="009A3AFE">
            <w:pPr>
              <w:rPr>
                <w:rFonts w:cs="Arial"/>
                <w:sz w:val="20"/>
              </w:rPr>
            </w:pPr>
            <w:r>
              <w:rPr>
                <w:rFonts w:cs="Arial"/>
                <w:sz w:val="20"/>
              </w:rPr>
              <w:t>F</w:t>
            </w:r>
            <w:r w:rsidRPr="00D93EB2">
              <w:rPr>
                <w:rFonts w:cs="Arial"/>
                <w:sz w:val="20"/>
              </w:rPr>
              <w:t>y</w:t>
            </w:r>
            <w:r>
              <w:rPr>
                <w:rFonts w:cs="Arial"/>
                <w:sz w:val="20"/>
              </w:rPr>
              <w:t>l</w:t>
            </w:r>
            <w:r w:rsidRPr="00D93EB2">
              <w:rPr>
                <w:rFonts w:cs="Arial"/>
                <w:sz w:val="20"/>
              </w:rPr>
              <w:t>de Coast Development Associations</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New Progress Housing Association </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Fylde Coast YMCA (Wyre)</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Northgate Managed Services Ltd </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Greater Deepdale Community Association</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North West &amp; North Wales Sea Fisheries Committee</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Hyndburn Homewise</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Ormerod Home Trust Ltd </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Hyndburn Transport</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Pendle Leisure Trust Ltd </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Kirkham Grammar School (Boarding)</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Places for People Ind Supp Ltd</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Lancashire County Enterprise </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Preston Care and Repair </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Lancashire Economic Partnership</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Preston Council for Voluntary Services </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Lancashire Federation of Young Farmers Clubs</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Progress Housing Association </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Lancashire Magistrates Courts Committee</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Progress Housing Group</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Lancashire Waste Services Ltd </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Progress Recruitment (SE) Ltd </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Lancashire West Partnership</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Queen Elizabeth Grammar School </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Lancaster City Transport Ltd </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Ribble Valley Homes </w:t>
            </w:r>
          </w:p>
        </w:tc>
        <w:tc>
          <w:tcPr>
            <w:tcW w:w="6095" w:type="dxa"/>
            <w:tcBorders>
              <w:top w:val="nil"/>
              <w:left w:val="nil"/>
              <w:bottom w:val="nil"/>
              <w:right w:val="nil"/>
            </w:tcBorders>
            <w:shd w:val="clear" w:color="auto" w:fill="auto"/>
            <w:vAlign w:val="center"/>
          </w:tcPr>
          <w:p w:rsidR="009A3AFE" w:rsidRPr="00EE3887" w:rsidRDefault="009A3AFE" w:rsidP="009A3AFE">
            <w:pPr>
              <w:rPr>
                <w:rFonts w:cs="Arial"/>
                <w:sz w:val="20"/>
              </w:rPr>
            </w:pPr>
            <w:r>
              <w:rPr>
                <w:rFonts w:cs="Arial"/>
                <w:sz w:val="20"/>
              </w:rPr>
              <w:t>Lancashire On-Line Learning</w:t>
            </w: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Lancaster Royal Grammar School (boarding)</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lastRenderedPageBreak/>
              <w:t>Lancs South East Probation Committee</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Lancs South West Probation Committee</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Mellors Catering Services Ltd (Cardinal Newman)</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Merseyside Valuation &amp; CCT</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NSL Ltd (Wyre)</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Pilling &amp; Winmarleigh Internal Drainage Board </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 xml:space="preserve">Preston Borough Transport Ltd </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Preston Education Action Zone</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Redstone Managed Services Ltd</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sz w:val="20"/>
              </w:rPr>
              <w:t>Samlesbury &amp; Cuerdale Parish Council</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933F1A">
              <w:rPr>
                <w:rFonts w:cs="Arial"/>
                <w:bCs/>
                <w:sz w:val="20"/>
              </w:rPr>
              <w:t>Skelmersdale College</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bCs/>
                <w:sz w:val="20"/>
              </w:rPr>
              <w:t>Skelmersdale Day Centre</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bCs/>
                <w:sz w:val="20"/>
              </w:rPr>
              <w:t>Skelmersdale Development Corporation</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bCs/>
                <w:sz w:val="20"/>
              </w:rPr>
              <w:t>Solar Facilities Management Ltd (Bishop Rawsthorne)</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AC3CAB">
              <w:rPr>
                <w:rFonts w:cs="Arial"/>
                <w:bCs/>
                <w:sz w:val="20"/>
              </w:rPr>
              <w:t>Solar Facilities Management Ltd (Tarleton)</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AC3CAB">
              <w:rPr>
                <w:rFonts w:cs="Arial"/>
                <w:bCs/>
                <w:sz w:val="20"/>
              </w:rPr>
              <w:t>Solar Facilities Management Ltd</w:t>
            </w:r>
            <w:r>
              <w:rPr>
                <w:rFonts w:cs="Arial"/>
                <w:bCs/>
                <w:sz w:val="20"/>
              </w:rPr>
              <w:t xml:space="preserve"> (Ripley)</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AC3CAB">
              <w:rPr>
                <w:rFonts w:cs="Arial"/>
                <w:bCs/>
                <w:sz w:val="20"/>
              </w:rPr>
              <w:t>Solar Facilities Management Ltd</w:t>
            </w:r>
            <w:r>
              <w:rPr>
                <w:rFonts w:cs="Arial"/>
                <w:bCs/>
                <w:sz w:val="20"/>
              </w:rPr>
              <w:t xml:space="preserve"> (Seven Stars)</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AC3CAB">
              <w:rPr>
                <w:rFonts w:cs="Arial"/>
                <w:bCs/>
                <w:sz w:val="20"/>
              </w:rPr>
              <w:t>Solar Facilities Management Ltd</w:t>
            </w:r>
            <w:r>
              <w:rPr>
                <w:rFonts w:cs="Arial"/>
                <w:bCs/>
                <w:sz w:val="20"/>
              </w:rPr>
              <w:t xml:space="preserve"> (St Peters)</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bCs/>
                <w:sz w:val="20"/>
              </w:rPr>
              <w:t>Spastics Society</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bCs/>
                <w:sz w:val="20"/>
              </w:rPr>
              <w:t>The Community Alliance (Burnley and Padiham) Ltd</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bCs/>
                <w:sz w:val="20"/>
              </w:rPr>
              <w:t>Wigan &amp; District M&amp;T College</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sidRPr="00933F1A">
              <w:rPr>
                <w:rFonts w:cs="Arial"/>
                <w:b/>
                <w:bCs/>
                <w:sz w:val="20"/>
              </w:rPr>
              <w:t>Other</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bCs/>
                <w:sz w:val="20"/>
              </w:rPr>
              <w:t>Rossendale Transport Ltd</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bCs/>
                <w:sz w:val="20"/>
              </w:rPr>
              <w:t>Blackpool Transport Services Ltd</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r>
              <w:rPr>
                <w:rFonts w:cs="Arial"/>
                <w:bCs/>
                <w:sz w:val="20"/>
              </w:rPr>
              <w:t>Membership restricted to employees "deemed" at deregulation in 1986)</w:t>
            </w: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Default="009A3AFE" w:rsidP="009A3AFE">
            <w:pPr>
              <w:rPr>
                <w:rFonts w:cs="Arial"/>
                <w:sz w:val="20"/>
              </w:rPr>
            </w:pPr>
          </w:p>
          <w:p w:rsidR="00F332F8" w:rsidRDefault="00F332F8" w:rsidP="009A3AFE">
            <w:pPr>
              <w:rPr>
                <w:rFonts w:cs="Arial"/>
                <w:sz w:val="20"/>
              </w:rPr>
            </w:pPr>
          </w:p>
          <w:p w:rsidR="00F332F8" w:rsidRPr="00166665" w:rsidRDefault="00F332F8" w:rsidP="009A3AFE">
            <w:pPr>
              <w:rPr>
                <w:rFonts w:cs="Arial"/>
                <w:sz w:val="20"/>
              </w:rPr>
            </w:pP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Default="009A3AFE" w:rsidP="009A3AFE">
            <w:pPr>
              <w:rPr>
                <w:rFonts w:cs="Arial"/>
                <w:sz w:val="20"/>
              </w:rPr>
            </w:pPr>
          </w:p>
          <w:p w:rsidR="00F332F8" w:rsidRPr="00166665" w:rsidRDefault="00F332F8" w:rsidP="009A3AFE">
            <w:pPr>
              <w:rPr>
                <w:rFonts w:cs="Arial"/>
                <w:sz w:val="20"/>
              </w:rPr>
            </w:pP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r w:rsidR="009A3AFE" w:rsidRPr="00166665" w:rsidTr="009A3AFE">
        <w:trPr>
          <w:trHeight w:val="254"/>
        </w:trPr>
        <w:tc>
          <w:tcPr>
            <w:tcW w:w="4977"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c>
          <w:tcPr>
            <w:tcW w:w="6095" w:type="dxa"/>
            <w:tcBorders>
              <w:top w:val="nil"/>
              <w:left w:val="nil"/>
              <w:bottom w:val="nil"/>
              <w:right w:val="nil"/>
            </w:tcBorders>
            <w:shd w:val="clear" w:color="auto" w:fill="auto"/>
            <w:vAlign w:val="center"/>
          </w:tcPr>
          <w:p w:rsidR="009A3AFE" w:rsidRPr="00166665" w:rsidRDefault="009A3AFE" w:rsidP="009A3AFE">
            <w:pPr>
              <w:rPr>
                <w:rFonts w:cs="Arial"/>
                <w:sz w:val="20"/>
              </w:rPr>
            </w:pPr>
          </w:p>
        </w:tc>
      </w:tr>
    </w:tbl>
    <w:p w:rsidR="009A3AFE" w:rsidRPr="00646918" w:rsidRDefault="009A3AFE" w:rsidP="009A3AFE">
      <w:pPr>
        <w:pStyle w:val="ListParagraph"/>
        <w:numPr>
          <w:ilvl w:val="0"/>
          <w:numId w:val="2"/>
        </w:numPr>
        <w:tabs>
          <w:tab w:val="left" w:pos="567"/>
        </w:tabs>
        <w:jc w:val="both"/>
        <w:rPr>
          <w:b/>
        </w:rPr>
      </w:pPr>
      <w:r w:rsidRPr="00646918">
        <w:rPr>
          <w:b/>
        </w:rPr>
        <w:t xml:space="preserve">Basis of Preparation </w:t>
      </w:r>
    </w:p>
    <w:p w:rsidR="009A3AFE" w:rsidRPr="005E107A" w:rsidRDefault="009A3AFE" w:rsidP="009A3AFE">
      <w:pPr>
        <w:tabs>
          <w:tab w:val="left" w:pos="567"/>
        </w:tabs>
        <w:jc w:val="both"/>
        <w:rPr>
          <w:b/>
          <w:szCs w:val="24"/>
        </w:rPr>
      </w:pPr>
    </w:p>
    <w:p w:rsidR="009A3AFE" w:rsidRDefault="009A3AFE" w:rsidP="009A3AFE">
      <w:pPr>
        <w:pStyle w:val="BodyTextIndent"/>
        <w:spacing w:after="0"/>
        <w:ind w:left="567"/>
        <w:rPr>
          <w:szCs w:val="24"/>
        </w:rPr>
      </w:pPr>
      <w:r>
        <w:rPr>
          <w:szCs w:val="24"/>
        </w:rPr>
        <w:t>The Statement of Accounts summarises the fund's transactions for the 2011/12 financial year and its position at year-end as at 31 March 2012.  The accounts</w:t>
      </w:r>
      <w:r w:rsidRPr="00E869DD">
        <w:rPr>
          <w:szCs w:val="24"/>
        </w:rPr>
        <w:t xml:space="preserve"> have been prepared in accordance </w:t>
      </w:r>
      <w:r>
        <w:rPr>
          <w:szCs w:val="24"/>
        </w:rPr>
        <w:t>with the Code of Practice on Local Authority Accounting in United Kingdom 2011/12 which is based on International Financial Reporting Standards (IFRS), as amended for the UK public sector.</w:t>
      </w:r>
    </w:p>
    <w:p w:rsidR="009A3AFE" w:rsidRPr="00166665" w:rsidRDefault="009A3AFE" w:rsidP="009A3AFE">
      <w:pPr>
        <w:pStyle w:val="BodyTextIndent"/>
        <w:spacing w:after="0"/>
        <w:ind w:left="567"/>
        <w:rPr>
          <w:szCs w:val="24"/>
        </w:rPr>
      </w:pPr>
    </w:p>
    <w:p w:rsidR="009A3AFE" w:rsidRDefault="009A3AFE" w:rsidP="009A3AFE">
      <w:pPr>
        <w:ind w:left="567"/>
        <w:jc w:val="both"/>
        <w:rPr>
          <w:szCs w:val="24"/>
        </w:rPr>
      </w:pPr>
      <w:r>
        <w:rPr>
          <w:szCs w:val="24"/>
        </w:rPr>
        <w:t>The accounts</w:t>
      </w:r>
      <w:r w:rsidRPr="00166665">
        <w:rPr>
          <w:szCs w:val="24"/>
        </w:rPr>
        <w:t xml:space="preserve"> summarise the transactions</w:t>
      </w:r>
      <w:r>
        <w:rPr>
          <w:szCs w:val="24"/>
        </w:rPr>
        <w:t xml:space="preserve"> of the fund</w:t>
      </w:r>
      <w:r w:rsidRPr="00166665">
        <w:rPr>
          <w:szCs w:val="24"/>
        </w:rPr>
        <w:t xml:space="preserve"> and</w:t>
      </w:r>
      <w:r>
        <w:rPr>
          <w:szCs w:val="24"/>
        </w:rPr>
        <w:t xml:space="preserve"> report the net assets available to pay pension benefits.</w:t>
      </w:r>
      <w:r w:rsidRPr="00166665">
        <w:rPr>
          <w:szCs w:val="24"/>
        </w:rPr>
        <w:t xml:space="preserve"> They do not take account of obligations to pay pensions and benefits which fall due after the end </w:t>
      </w:r>
      <w:r>
        <w:rPr>
          <w:szCs w:val="24"/>
        </w:rPr>
        <w:t xml:space="preserve">of the financial year. </w:t>
      </w:r>
      <w:r w:rsidRPr="00AD17B7">
        <w:rPr>
          <w:szCs w:val="24"/>
        </w:rPr>
        <w:t>The actuarial present value of promised retirement benefits, value on an International Accounting Standard (IAS) 19 basis, is disclosed in note 31 of these accounts.</w:t>
      </w:r>
    </w:p>
    <w:p w:rsidR="009A3AFE" w:rsidRDefault="009A3AFE" w:rsidP="009A3AFE">
      <w:pPr>
        <w:ind w:left="567"/>
        <w:jc w:val="both"/>
        <w:rPr>
          <w:szCs w:val="24"/>
        </w:rPr>
      </w:pPr>
    </w:p>
    <w:p w:rsidR="00F332F8" w:rsidRPr="00166665" w:rsidRDefault="00F332F8" w:rsidP="009A3AFE">
      <w:pPr>
        <w:ind w:left="567"/>
        <w:jc w:val="both"/>
        <w:rPr>
          <w:szCs w:val="24"/>
        </w:rPr>
      </w:pPr>
    </w:p>
    <w:p w:rsidR="009A3AFE" w:rsidRDefault="009A3AFE" w:rsidP="009A3AFE">
      <w:pPr>
        <w:pStyle w:val="BodyTextIndent"/>
        <w:numPr>
          <w:ilvl w:val="0"/>
          <w:numId w:val="2"/>
        </w:numPr>
        <w:tabs>
          <w:tab w:val="clear" w:pos="720"/>
          <w:tab w:val="clear" w:pos="1080"/>
          <w:tab w:val="num" w:pos="567"/>
        </w:tabs>
        <w:spacing w:after="0"/>
        <w:ind w:left="567" w:hanging="567"/>
        <w:rPr>
          <w:b/>
          <w:szCs w:val="24"/>
        </w:rPr>
      </w:pPr>
      <w:r w:rsidRPr="00166665">
        <w:rPr>
          <w:b/>
          <w:szCs w:val="24"/>
        </w:rPr>
        <w:t>Accounting Policies</w:t>
      </w:r>
    </w:p>
    <w:p w:rsidR="009A3AFE" w:rsidRPr="00166665" w:rsidRDefault="009A3AFE" w:rsidP="009A3AFE">
      <w:pPr>
        <w:pStyle w:val="BodyTextIndent"/>
        <w:tabs>
          <w:tab w:val="clear" w:pos="1080"/>
        </w:tabs>
        <w:spacing w:after="0"/>
        <w:ind w:left="567"/>
        <w:rPr>
          <w:b/>
          <w:szCs w:val="24"/>
        </w:rPr>
      </w:pPr>
    </w:p>
    <w:p w:rsidR="009A3AFE" w:rsidRDefault="009A3AFE" w:rsidP="009A3AFE">
      <w:pPr>
        <w:ind w:left="567"/>
        <w:rPr>
          <w:b/>
          <w:szCs w:val="24"/>
        </w:rPr>
      </w:pPr>
      <w:r>
        <w:rPr>
          <w:b/>
          <w:szCs w:val="24"/>
        </w:rPr>
        <w:t>Fund Account revenue recognition</w:t>
      </w:r>
    </w:p>
    <w:p w:rsidR="009A3AFE" w:rsidRPr="003B5697" w:rsidRDefault="009A3AFE" w:rsidP="009A3AFE">
      <w:pPr>
        <w:rPr>
          <w:b/>
          <w:szCs w:val="24"/>
        </w:rPr>
      </w:pPr>
    </w:p>
    <w:p w:rsidR="009A3AFE" w:rsidRDefault="009A3AFE" w:rsidP="009A3AFE">
      <w:pPr>
        <w:numPr>
          <w:ilvl w:val="0"/>
          <w:numId w:val="4"/>
        </w:numPr>
        <w:tabs>
          <w:tab w:val="clear" w:pos="825"/>
          <w:tab w:val="num" w:pos="851"/>
        </w:tabs>
        <w:ind w:left="1113" w:hanging="546"/>
        <w:rPr>
          <w:b/>
          <w:szCs w:val="24"/>
        </w:rPr>
      </w:pPr>
      <w:r w:rsidRPr="003B5697">
        <w:rPr>
          <w:b/>
          <w:szCs w:val="24"/>
        </w:rPr>
        <w:t>Contribution income</w:t>
      </w:r>
    </w:p>
    <w:p w:rsidR="009A3AFE" w:rsidRPr="003B5697" w:rsidRDefault="009A3AFE" w:rsidP="009A3AFE">
      <w:pPr>
        <w:ind w:left="1113"/>
        <w:rPr>
          <w:b/>
          <w:szCs w:val="24"/>
        </w:rPr>
      </w:pPr>
    </w:p>
    <w:p w:rsidR="009A3AFE" w:rsidRDefault="009A3AFE" w:rsidP="009A3AFE">
      <w:pPr>
        <w:pStyle w:val="BodyTextIndent2"/>
        <w:tabs>
          <w:tab w:val="left" w:pos="851"/>
        </w:tabs>
        <w:spacing w:after="0"/>
        <w:ind w:left="851"/>
        <w:rPr>
          <w:szCs w:val="24"/>
        </w:rPr>
      </w:pPr>
      <w:r>
        <w:rPr>
          <w:szCs w:val="24"/>
        </w:rPr>
        <w:t>Normal contributions both from members and from the employer, are accounted for on an accruals basis at the percentage rate recommended by the fund actuary in the payroll period to which they relate.</w:t>
      </w:r>
    </w:p>
    <w:p w:rsidR="009A3AFE" w:rsidRDefault="009A3AFE" w:rsidP="009A3AFE">
      <w:pPr>
        <w:pStyle w:val="BodyTextIndent2"/>
        <w:tabs>
          <w:tab w:val="left" w:pos="851"/>
        </w:tabs>
        <w:spacing w:after="0"/>
        <w:ind w:left="851"/>
        <w:rPr>
          <w:szCs w:val="24"/>
        </w:rPr>
      </w:pPr>
    </w:p>
    <w:p w:rsidR="009A3AFE" w:rsidRDefault="009A3AFE" w:rsidP="009A3AFE">
      <w:pPr>
        <w:ind w:left="851"/>
        <w:rPr>
          <w:b/>
          <w:szCs w:val="24"/>
        </w:rPr>
      </w:pPr>
      <w:r>
        <w:rPr>
          <w:szCs w:val="24"/>
        </w:rPr>
        <w:t>Employers' augmentation contributions and pensions strain contributions are accounted for</w:t>
      </w:r>
      <w:r>
        <w:rPr>
          <w:b/>
          <w:szCs w:val="24"/>
        </w:rPr>
        <w:t xml:space="preserve"> </w:t>
      </w:r>
      <w:r w:rsidRPr="00260A3F">
        <w:rPr>
          <w:szCs w:val="24"/>
        </w:rPr>
        <w:t>the period in which the liability arises.  Any amount due in the year but unpaid will be classed as a current financial asset.  Amounts not due until future years are classed as long term financial assets.</w:t>
      </w:r>
      <w:r w:rsidRPr="00260A3F">
        <w:rPr>
          <w:b/>
          <w:szCs w:val="24"/>
        </w:rPr>
        <w:t xml:space="preserve"> </w:t>
      </w:r>
    </w:p>
    <w:p w:rsidR="009A3AFE" w:rsidRPr="00260A3F" w:rsidRDefault="009A3AFE" w:rsidP="009A3AFE">
      <w:pPr>
        <w:ind w:left="851"/>
        <w:rPr>
          <w:b/>
          <w:szCs w:val="24"/>
        </w:rPr>
      </w:pPr>
    </w:p>
    <w:p w:rsidR="009A3AFE" w:rsidRDefault="009A3AFE" w:rsidP="009A3AFE">
      <w:pPr>
        <w:numPr>
          <w:ilvl w:val="0"/>
          <w:numId w:val="4"/>
        </w:numPr>
        <w:tabs>
          <w:tab w:val="clear" w:pos="825"/>
          <w:tab w:val="num" w:pos="851"/>
        </w:tabs>
        <w:ind w:left="1113" w:hanging="546"/>
        <w:rPr>
          <w:b/>
          <w:szCs w:val="24"/>
        </w:rPr>
      </w:pPr>
      <w:r>
        <w:rPr>
          <w:b/>
          <w:szCs w:val="24"/>
        </w:rPr>
        <w:t>T</w:t>
      </w:r>
      <w:r w:rsidRPr="003B5697">
        <w:rPr>
          <w:b/>
          <w:szCs w:val="24"/>
        </w:rPr>
        <w:t>ransfers</w:t>
      </w:r>
    </w:p>
    <w:p w:rsidR="009A3AFE" w:rsidRPr="003B5697" w:rsidRDefault="009A3AFE" w:rsidP="009A3AFE">
      <w:pPr>
        <w:ind w:left="1113"/>
        <w:rPr>
          <w:b/>
          <w:szCs w:val="24"/>
        </w:rPr>
      </w:pPr>
    </w:p>
    <w:p w:rsidR="009A3AFE" w:rsidRPr="00260A3F" w:rsidRDefault="009A3AFE" w:rsidP="009A3AFE">
      <w:pPr>
        <w:pStyle w:val="BodyTextIndent2"/>
        <w:tabs>
          <w:tab w:val="left" w:pos="851"/>
        </w:tabs>
        <w:spacing w:after="0"/>
        <w:ind w:left="851"/>
        <w:rPr>
          <w:szCs w:val="24"/>
          <w:highlight w:val="yellow"/>
        </w:rPr>
      </w:pPr>
      <w:r>
        <w:rPr>
          <w:szCs w:val="24"/>
        </w:rPr>
        <w:t xml:space="preserve">Transfer values represent amounts received and paid during the period for individual </w:t>
      </w:r>
      <w:r w:rsidRPr="00664DB9">
        <w:rPr>
          <w:szCs w:val="24"/>
        </w:rPr>
        <w:t>members who have either joined or left the fund during the financial year and are calculated in accordance with Local Governance Pension Scheme Regulations.</w:t>
      </w:r>
    </w:p>
    <w:p w:rsidR="009A3AFE" w:rsidRPr="00260A3F" w:rsidRDefault="009A3AFE" w:rsidP="009A3AFE">
      <w:pPr>
        <w:pStyle w:val="BodyTextIndent2"/>
        <w:tabs>
          <w:tab w:val="left" w:pos="851"/>
        </w:tabs>
        <w:spacing w:after="0"/>
        <w:ind w:left="851"/>
        <w:rPr>
          <w:szCs w:val="24"/>
          <w:highlight w:val="yellow"/>
        </w:rPr>
      </w:pPr>
    </w:p>
    <w:p w:rsidR="009A3AFE" w:rsidRPr="00664DB9" w:rsidRDefault="009A3AFE" w:rsidP="009A3AFE">
      <w:pPr>
        <w:pStyle w:val="BodyTextIndent2"/>
        <w:tabs>
          <w:tab w:val="left" w:pos="851"/>
        </w:tabs>
        <w:spacing w:after="0"/>
        <w:ind w:left="851"/>
        <w:rPr>
          <w:szCs w:val="24"/>
        </w:rPr>
      </w:pPr>
      <w:r w:rsidRPr="00664DB9">
        <w:rPr>
          <w:szCs w:val="24"/>
        </w:rPr>
        <w:t>Individual transfers in/out are accounted for when received/paid, which is normally when the member liability is accepted or discharged.</w:t>
      </w:r>
    </w:p>
    <w:p w:rsidR="009A3AFE" w:rsidRPr="00260A3F" w:rsidRDefault="009A3AFE" w:rsidP="009A3AFE">
      <w:pPr>
        <w:pStyle w:val="BodyTextIndent2"/>
        <w:tabs>
          <w:tab w:val="left" w:pos="851"/>
        </w:tabs>
        <w:spacing w:after="0"/>
        <w:ind w:left="851"/>
        <w:rPr>
          <w:szCs w:val="24"/>
          <w:highlight w:val="yellow"/>
        </w:rPr>
      </w:pPr>
    </w:p>
    <w:p w:rsidR="009A3AFE" w:rsidRDefault="009A3AFE" w:rsidP="009A3AFE">
      <w:pPr>
        <w:pStyle w:val="BodyTextIndent2"/>
        <w:tabs>
          <w:tab w:val="left" w:pos="851"/>
        </w:tabs>
        <w:spacing w:after="0"/>
        <w:ind w:left="851"/>
        <w:rPr>
          <w:szCs w:val="24"/>
        </w:rPr>
      </w:pPr>
      <w:r w:rsidRPr="00664DB9">
        <w:rPr>
          <w:szCs w:val="24"/>
        </w:rPr>
        <w:t>Transfers in from members wishing to use the proceeds of their additional voluntary contributions to purchase scheme benefits are accounted for on a receipts basis and are included in transfers in. Bulk (group) transfers are accounted for on an accruals basis in accordance with the terms of the transfer agreement.</w:t>
      </w:r>
    </w:p>
    <w:p w:rsidR="00F332F8" w:rsidRDefault="00F332F8" w:rsidP="009A3AFE">
      <w:pPr>
        <w:pStyle w:val="BodyTextIndent2"/>
        <w:tabs>
          <w:tab w:val="left" w:pos="851"/>
        </w:tabs>
        <w:spacing w:after="0"/>
        <w:ind w:left="851"/>
        <w:rPr>
          <w:szCs w:val="24"/>
        </w:rPr>
      </w:pPr>
    </w:p>
    <w:p w:rsidR="00F332F8" w:rsidRDefault="00F332F8" w:rsidP="009A3AFE">
      <w:pPr>
        <w:pStyle w:val="BodyTextIndent2"/>
        <w:tabs>
          <w:tab w:val="left" w:pos="851"/>
        </w:tabs>
        <w:spacing w:after="0"/>
        <w:ind w:left="851"/>
        <w:rPr>
          <w:szCs w:val="24"/>
        </w:rPr>
      </w:pPr>
    </w:p>
    <w:p w:rsidR="00F332F8" w:rsidRDefault="00F332F8" w:rsidP="009A3AFE">
      <w:pPr>
        <w:pStyle w:val="BodyTextIndent2"/>
        <w:tabs>
          <w:tab w:val="left" w:pos="851"/>
        </w:tabs>
        <w:spacing w:after="0"/>
        <w:ind w:left="851"/>
        <w:rPr>
          <w:szCs w:val="24"/>
        </w:rPr>
      </w:pPr>
    </w:p>
    <w:p w:rsidR="00F332F8" w:rsidRDefault="00F332F8" w:rsidP="009A3AFE">
      <w:pPr>
        <w:pStyle w:val="BodyTextIndent2"/>
        <w:tabs>
          <w:tab w:val="left" w:pos="851"/>
        </w:tabs>
        <w:spacing w:after="0"/>
        <w:ind w:left="851"/>
        <w:rPr>
          <w:szCs w:val="24"/>
        </w:rPr>
      </w:pPr>
    </w:p>
    <w:p w:rsidR="00F332F8" w:rsidRDefault="00F332F8" w:rsidP="009A3AFE">
      <w:pPr>
        <w:pStyle w:val="BodyTextIndent2"/>
        <w:tabs>
          <w:tab w:val="left" w:pos="851"/>
        </w:tabs>
        <w:spacing w:after="0"/>
        <w:ind w:left="851"/>
        <w:rPr>
          <w:szCs w:val="24"/>
        </w:rPr>
      </w:pPr>
    </w:p>
    <w:p w:rsidR="009A3AFE" w:rsidRDefault="009A3AFE" w:rsidP="009A3AFE">
      <w:pPr>
        <w:pStyle w:val="BodyTextIndent2"/>
        <w:tabs>
          <w:tab w:val="left" w:pos="851"/>
        </w:tabs>
        <w:spacing w:after="0"/>
        <w:ind w:left="851"/>
        <w:rPr>
          <w:szCs w:val="24"/>
        </w:rPr>
      </w:pPr>
    </w:p>
    <w:p w:rsidR="009A3AFE" w:rsidRPr="00DE0905" w:rsidRDefault="009A3AFE" w:rsidP="009A3AFE">
      <w:pPr>
        <w:pStyle w:val="BodyTextIndent2"/>
        <w:numPr>
          <w:ilvl w:val="0"/>
          <w:numId w:val="4"/>
        </w:numPr>
        <w:tabs>
          <w:tab w:val="left" w:pos="851"/>
        </w:tabs>
        <w:spacing w:after="0"/>
        <w:rPr>
          <w:szCs w:val="24"/>
        </w:rPr>
      </w:pPr>
      <w:r w:rsidRPr="00DE0905">
        <w:rPr>
          <w:b/>
          <w:szCs w:val="24"/>
        </w:rPr>
        <w:t>Investment Income</w:t>
      </w:r>
    </w:p>
    <w:p w:rsidR="009A3AFE" w:rsidRPr="00DE0905" w:rsidRDefault="009A3AFE" w:rsidP="009A3AFE">
      <w:pPr>
        <w:pStyle w:val="BodyTextIndent2"/>
        <w:tabs>
          <w:tab w:val="left" w:pos="851"/>
        </w:tabs>
        <w:spacing w:after="0"/>
        <w:ind w:left="927"/>
        <w:rPr>
          <w:szCs w:val="24"/>
        </w:rPr>
      </w:pPr>
    </w:p>
    <w:p w:rsidR="009A3AFE" w:rsidRDefault="009A3AFE" w:rsidP="00C2774F">
      <w:pPr>
        <w:pStyle w:val="BodyTextIndent2"/>
        <w:numPr>
          <w:ilvl w:val="0"/>
          <w:numId w:val="24"/>
        </w:numPr>
        <w:tabs>
          <w:tab w:val="left" w:pos="851"/>
        </w:tabs>
        <w:spacing w:after="0"/>
        <w:rPr>
          <w:szCs w:val="24"/>
        </w:rPr>
      </w:pPr>
      <w:r w:rsidRPr="00DE0905">
        <w:rPr>
          <w:szCs w:val="24"/>
        </w:rPr>
        <w:t>Interest income</w:t>
      </w:r>
    </w:p>
    <w:p w:rsidR="009A3AFE" w:rsidRDefault="009A3AFE" w:rsidP="009A3AFE">
      <w:pPr>
        <w:pStyle w:val="ListParagraph"/>
      </w:pPr>
    </w:p>
    <w:p w:rsidR="009A3AFE" w:rsidRDefault="009A3AFE" w:rsidP="009A3AFE">
      <w:pPr>
        <w:pStyle w:val="BodyTextIndent2"/>
        <w:tabs>
          <w:tab w:val="left" w:pos="851"/>
        </w:tabs>
        <w:spacing w:after="0"/>
        <w:ind w:left="851"/>
        <w:rPr>
          <w:szCs w:val="24"/>
        </w:rPr>
      </w:pPr>
      <w:r>
        <w:rPr>
          <w:szCs w:val="24"/>
        </w:rPr>
        <w:t>Interest income is recognised in the fund account as it accrues, using the effective interest rate of the financial instrument as at the date of acquisition or origination.  Income includes the amortisation of any discount or premium, transaction costs or other differences between the initial carrying amount of the instrument and its amount at maturity calculated on an effective interest rate basis.</w:t>
      </w:r>
    </w:p>
    <w:p w:rsidR="009A3AFE" w:rsidRDefault="009A3AFE" w:rsidP="009A3AFE">
      <w:pPr>
        <w:pStyle w:val="BodyTextIndent2"/>
        <w:tabs>
          <w:tab w:val="left" w:pos="851"/>
        </w:tabs>
        <w:spacing w:after="0"/>
        <w:ind w:left="851"/>
        <w:rPr>
          <w:szCs w:val="24"/>
        </w:rPr>
      </w:pPr>
    </w:p>
    <w:p w:rsidR="009A3AFE" w:rsidRDefault="009A3AFE" w:rsidP="00C2774F">
      <w:pPr>
        <w:pStyle w:val="BodyTextIndent2"/>
        <w:numPr>
          <w:ilvl w:val="0"/>
          <w:numId w:val="24"/>
        </w:numPr>
        <w:tabs>
          <w:tab w:val="left" w:pos="851"/>
        </w:tabs>
        <w:spacing w:after="0"/>
        <w:rPr>
          <w:szCs w:val="24"/>
        </w:rPr>
      </w:pPr>
      <w:r>
        <w:rPr>
          <w:szCs w:val="24"/>
        </w:rPr>
        <w:t>Dividend income</w:t>
      </w:r>
    </w:p>
    <w:p w:rsidR="009A3AFE" w:rsidRDefault="009A3AFE" w:rsidP="009A3AFE">
      <w:pPr>
        <w:pStyle w:val="BodyTextIndent2"/>
        <w:tabs>
          <w:tab w:val="left" w:pos="851"/>
        </w:tabs>
        <w:spacing w:after="0"/>
        <w:ind w:left="927"/>
        <w:rPr>
          <w:szCs w:val="24"/>
        </w:rPr>
      </w:pPr>
    </w:p>
    <w:p w:rsidR="009A3AFE" w:rsidRDefault="009A3AFE" w:rsidP="009A3AFE">
      <w:pPr>
        <w:pStyle w:val="BodyTextIndent2"/>
        <w:tabs>
          <w:tab w:val="left" w:pos="851"/>
        </w:tabs>
        <w:spacing w:after="0"/>
        <w:ind w:left="851"/>
        <w:rPr>
          <w:szCs w:val="24"/>
        </w:rPr>
      </w:pPr>
      <w:r>
        <w:rPr>
          <w:szCs w:val="24"/>
        </w:rPr>
        <w:t>Dividend income is recognised on the date the shares are quoted ex-dividend.  Any amount not received by end of the reporting period is disclosed in the net asset statement as a current financial asset.</w:t>
      </w:r>
    </w:p>
    <w:p w:rsidR="009A3AFE" w:rsidRDefault="009A3AFE" w:rsidP="009A3AFE">
      <w:pPr>
        <w:pStyle w:val="BodyTextIndent2"/>
        <w:tabs>
          <w:tab w:val="left" w:pos="851"/>
        </w:tabs>
        <w:spacing w:after="0"/>
        <w:ind w:left="927"/>
        <w:rPr>
          <w:szCs w:val="24"/>
        </w:rPr>
      </w:pPr>
    </w:p>
    <w:p w:rsidR="009A3AFE" w:rsidRDefault="009A3AFE" w:rsidP="00C2774F">
      <w:pPr>
        <w:pStyle w:val="BodyTextIndent2"/>
        <w:numPr>
          <w:ilvl w:val="0"/>
          <w:numId w:val="24"/>
        </w:numPr>
        <w:tabs>
          <w:tab w:val="left" w:pos="851"/>
        </w:tabs>
        <w:spacing w:after="0"/>
        <w:rPr>
          <w:szCs w:val="24"/>
        </w:rPr>
      </w:pPr>
      <w:r>
        <w:rPr>
          <w:szCs w:val="24"/>
        </w:rPr>
        <w:t>Distribution from pooled funds</w:t>
      </w:r>
    </w:p>
    <w:p w:rsidR="009A3AFE" w:rsidRDefault="009A3AFE" w:rsidP="009A3AFE">
      <w:pPr>
        <w:pStyle w:val="BodyTextIndent2"/>
        <w:tabs>
          <w:tab w:val="left" w:pos="851"/>
        </w:tabs>
        <w:spacing w:after="0"/>
        <w:ind w:left="927"/>
        <w:rPr>
          <w:szCs w:val="24"/>
        </w:rPr>
      </w:pPr>
    </w:p>
    <w:p w:rsidR="009A3AFE" w:rsidRDefault="009A3AFE" w:rsidP="009A3AFE">
      <w:pPr>
        <w:pStyle w:val="BodyTextIndent2"/>
        <w:tabs>
          <w:tab w:val="left" w:pos="851"/>
        </w:tabs>
        <w:spacing w:after="0"/>
        <w:ind w:left="851"/>
        <w:rPr>
          <w:szCs w:val="24"/>
        </w:rPr>
      </w:pPr>
      <w:r>
        <w:rPr>
          <w:szCs w:val="24"/>
        </w:rPr>
        <w:t>Distributions from pooled funds are recognised at the date of issue.  Any amount not received by the end of the reporting period is disclosed in the net asset statement as a current financial asset.</w:t>
      </w:r>
    </w:p>
    <w:p w:rsidR="009A3AFE" w:rsidRDefault="009A3AFE" w:rsidP="009A3AFE">
      <w:pPr>
        <w:pStyle w:val="BodyTextIndent2"/>
        <w:tabs>
          <w:tab w:val="left" w:pos="851"/>
        </w:tabs>
        <w:spacing w:after="0"/>
        <w:ind w:left="927"/>
        <w:rPr>
          <w:szCs w:val="24"/>
        </w:rPr>
      </w:pPr>
    </w:p>
    <w:p w:rsidR="009A3AFE" w:rsidRDefault="009A3AFE" w:rsidP="00C2774F">
      <w:pPr>
        <w:pStyle w:val="BodyTextIndent2"/>
        <w:numPr>
          <w:ilvl w:val="0"/>
          <w:numId w:val="24"/>
        </w:numPr>
        <w:tabs>
          <w:tab w:val="left" w:pos="851"/>
        </w:tabs>
        <w:spacing w:after="0"/>
        <w:rPr>
          <w:szCs w:val="24"/>
        </w:rPr>
      </w:pPr>
      <w:r>
        <w:rPr>
          <w:szCs w:val="24"/>
        </w:rPr>
        <w:t>Rental income</w:t>
      </w:r>
    </w:p>
    <w:p w:rsidR="009A3AFE" w:rsidRDefault="009A3AFE" w:rsidP="009A3AFE">
      <w:pPr>
        <w:pStyle w:val="BodyTextIndent2"/>
        <w:tabs>
          <w:tab w:val="left" w:pos="851"/>
        </w:tabs>
        <w:spacing w:after="0"/>
        <w:ind w:left="927"/>
        <w:rPr>
          <w:szCs w:val="24"/>
        </w:rPr>
      </w:pPr>
    </w:p>
    <w:p w:rsidR="009A3AFE" w:rsidRDefault="009A3AFE" w:rsidP="009A3AFE">
      <w:pPr>
        <w:pStyle w:val="BodyTextIndent2"/>
        <w:tabs>
          <w:tab w:val="left" w:pos="851"/>
        </w:tabs>
        <w:spacing w:after="0"/>
        <w:ind w:left="851"/>
        <w:rPr>
          <w:szCs w:val="24"/>
        </w:rPr>
      </w:pPr>
      <w:r>
        <w:rPr>
          <w:szCs w:val="24"/>
        </w:rPr>
        <w:t>Rental income from operating leases on properties owned by the fund is recognised on a straight line basis over the term of the lease.  Any lease incentives granted are recognised as an integral part of the total rental income, over the term of the lease.  Contingent rents are only recognised when contractually due.</w:t>
      </w:r>
    </w:p>
    <w:p w:rsidR="009A3AFE" w:rsidRPr="00116B9E" w:rsidRDefault="009A3AFE" w:rsidP="009A3AFE">
      <w:pPr>
        <w:pStyle w:val="BodyTextIndent2"/>
        <w:tabs>
          <w:tab w:val="left" w:pos="851"/>
        </w:tabs>
        <w:spacing w:after="0"/>
        <w:ind w:left="927"/>
        <w:rPr>
          <w:szCs w:val="24"/>
        </w:rPr>
      </w:pPr>
    </w:p>
    <w:p w:rsidR="009A3AFE" w:rsidRDefault="009A3AFE" w:rsidP="009A3AFE">
      <w:pPr>
        <w:ind w:left="426"/>
        <w:rPr>
          <w:b/>
          <w:szCs w:val="24"/>
        </w:rPr>
      </w:pPr>
      <w:r>
        <w:rPr>
          <w:b/>
          <w:szCs w:val="24"/>
        </w:rPr>
        <w:t>Fund Account –expense items</w:t>
      </w:r>
    </w:p>
    <w:p w:rsidR="009A3AFE" w:rsidRDefault="009A3AFE" w:rsidP="009A3AFE">
      <w:pPr>
        <w:rPr>
          <w:b/>
          <w:szCs w:val="24"/>
        </w:rPr>
      </w:pPr>
    </w:p>
    <w:p w:rsidR="009A3AFE" w:rsidRDefault="009A3AFE" w:rsidP="009A3AFE">
      <w:pPr>
        <w:numPr>
          <w:ilvl w:val="0"/>
          <w:numId w:val="4"/>
        </w:numPr>
        <w:tabs>
          <w:tab w:val="clear" w:pos="825"/>
          <w:tab w:val="num" w:pos="851"/>
        </w:tabs>
        <w:ind w:left="1113" w:hanging="546"/>
        <w:rPr>
          <w:b/>
          <w:szCs w:val="24"/>
        </w:rPr>
      </w:pPr>
      <w:r>
        <w:rPr>
          <w:b/>
          <w:szCs w:val="24"/>
        </w:rPr>
        <w:t>Benefits payable</w:t>
      </w:r>
    </w:p>
    <w:p w:rsidR="009A3AFE" w:rsidRDefault="009A3AFE" w:rsidP="009A3AFE">
      <w:pPr>
        <w:ind w:left="1113"/>
        <w:rPr>
          <w:b/>
          <w:szCs w:val="24"/>
        </w:rPr>
      </w:pPr>
    </w:p>
    <w:p w:rsidR="009A3AFE" w:rsidRDefault="009A3AFE" w:rsidP="009A3AFE">
      <w:pPr>
        <w:tabs>
          <w:tab w:val="left" w:pos="851"/>
        </w:tabs>
        <w:ind w:left="851"/>
        <w:jc w:val="both"/>
        <w:rPr>
          <w:szCs w:val="24"/>
        </w:rPr>
      </w:pPr>
      <w:r>
        <w:rPr>
          <w:szCs w:val="24"/>
        </w:rPr>
        <w:t>Pensions and lump sum benefits payable included all amounts known to be due as at the end of the financial year.  Any amounts due but unpaid are disclosed on the net asset statement as current liabilities.</w:t>
      </w:r>
    </w:p>
    <w:p w:rsidR="009A3AFE" w:rsidRDefault="009A3AFE" w:rsidP="009A3AFE">
      <w:pPr>
        <w:tabs>
          <w:tab w:val="left" w:pos="851"/>
        </w:tabs>
        <w:ind w:left="851"/>
        <w:jc w:val="both"/>
        <w:rPr>
          <w:szCs w:val="24"/>
        </w:rPr>
      </w:pPr>
    </w:p>
    <w:p w:rsidR="009A3AFE" w:rsidRDefault="009A3AFE" w:rsidP="009A3AFE">
      <w:pPr>
        <w:numPr>
          <w:ilvl w:val="0"/>
          <w:numId w:val="4"/>
        </w:numPr>
        <w:tabs>
          <w:tab w:val="clear" w:pos="825"/>
          <w:tab w:val="num" w:pos="851"/>
        </w:tabs>
        <w:ind w:left="1113" w:hanging="546"/>
        <w:rPr>
          <w:b/>
          <w:szCs w:val="24"/>
        </w:rPr>
      </w:pPr>
      <w:r w:rsidRPr="007E6060">
        <w:rPr>
          <w:b/>
          <w:szCs w:val="24"/>
        </w:rPr>
        <w:t>Taxation</w:t>
      </w:r>
    </w:p>
    <w:p w:rsidR="009A3AFE" w:rsidRDefault="009A3AFE" w:rsidP="009A3AFE">
      <w:pPr>
        <w:ind w:left="1113"/>
        <w:rPr>
          <w:b/>
          <w:szCs w:val="24"/>
        </w:rPr>
      </w:pPr>
    </w:p>
    <w:p w:rsidR="009A3AFE" w:rsidRDefault="009A3AFE" w:rsidP="009A3AFE">
      <w:pPr>
        <w:tabs>
          <w:tab w:val="left" w:pos="851"/>
        </w:tabs>
        <w:ind w:left="851"/>
        <w:jc w:val="both"/>
        <w:rPr>
          <w:szCs w:val="24"/>
        </w:rPr>
      </w:pPr>
      <w:r>
        <w:rPr>
          <w:szCs w:val="24"/>
        </w:rPr>
        <w:t>The fund is a registered public service scheme under section 1(1) of Schedule 36 of the Finance Act 2004 and as such is exempt from UK income tax on interest received and from capital gains tax on the proceeds of investments sold.  Income from overseas investments suffers withholding tax in the country of origin, unless exemption is permitted.  Irrecoverable tax is accounted for as a fund expense as it arises.</w:t>
      </w:r>
    </w:p>
    <w:p w:rsidR="009A3AFE" w:rsidRDefault="009A3AFE" w:rsidP="009A3AFE">
      <w:pPr>
        <w:tabs>
          <w:tab w:val="left" w:pos="851"/>
        </w:tabs>
        <w:ind w:left="851"/>
        <w:jc w:val="both"/>
        <w:rPr>
          <w:szCs w:val="24"/>
        </w:rPr>
      </w:pPr>
    </w:p>
    <w:p w:rsidR="009A3AFE" w:rsidRPr="009504F6" w:rsidRDefault="009A3AFE" w:rsidP="009A3AFE">
      <w:pPr>
        <w:numPr>
          <w:ilvl w:val="0"/>
          <w:numId w:val="4"/>
        </w:numPr>
        <w:tabs>
          <w:tab w:val="clear" w:pos="825"/>
          <w:tab w:val="num" w:pos="851"/>
        </w:tabs>
        <w:ind w:left="1113" w:hanging="546"/>
        <w:rPr>
          <w:szCs w:val="24"/>
        </w:rPr>
      </w:pPr>
      <w:r w:rsidRPr="00C44323">
        <w:rPr>
          <w:b/>
          <w:szCs w:val="24"/>
        </w:rPr>
        <w:t>Administrative</w:t>
      </w:r>
      <w:r w:rsidRPr="00C44323">
        <w:rPr>
          <w:szCs w:val="24"/>
        </w:rPr>
        <w:t xml:space="preserve"> </w:t>
      </w:r>
      <w:r w:rsidRPr="00C44323">
        <w:rPr>
          <w:b/>
          <w:szCs w:val="24"/>
        </w:rPr>
        <w:t>expenses</w:t>
      </w:r>
    </w:p>
    <w:p w:rsidR="009A3AFE" w:rsidRPr="00C44323" w:rsidRDefault="009A3AFE" w:rsidP="009A3AFE">
      <w:pPr>
        <w:ind w:left="1113"/>
        <w:rPr>
          <w:szCs w:val="24"/>
        </w:rPr>
      </w:pPr>
    </w:p>
    <w:p w:rsidR="009A3AFE" w:rsidRDefault="009A3AFE" w:rsidP="009A3AFE">
      <w:pPr>
        <w:tabs>
          <w:tab w:val="left" w:pos="851"/>
        </w:tabs>
        <w:ind w:left="851"/>
        <w:jc w:val="both"/>
        <w:rPr>
          <w:szCs w:val="24"/>
        </w:rPr>
      </w:pPr>
      <w:r w:rsidRPr="00C44323">
        <w:rPr>
          <w:szCs w:val="24"/>
        </w:rPr>
        <w:t>All administrative expenses are accounted for on an accruals basis.</w:t>
      </w:r>
      <w:r>
        <w:rPr>
          <w:szCs w:val="24"/>
        </w:rPr>
        <w:t xml:space="preserve"> </w:t>
      </w:r>
      <w:r w:rsidRPr="00166665">
        <w:rPr>
          <w:szCs w:val="24"/>
        </w:rPr>
        <w:t xml:space="preserve">All other costs of administration are borne by the employer.  The administration and processing </w:t>
      </w:r>
      <w:r w:rsidRPr="00166665">
        <w:rPr>
          <w:szCs w:val="24"/>
        </w:rPr>
        <w:lastRenderedPageBreak/>
        <w:t>expenses are a proportion of relevant officers' salaries in respect of the time allocated to pension administration and investment issues.</w:t>
      </w:r>
    </w:p>
    <w:p w:rsidR="009A3AFE" w:rsidRDefault="009A3AFE" w:rsidP="009A3AFE">
      <w:pPr>
        <w:tabs>
          <w:tab w:val="left" w:pos="851"/>
        </w:tabs>
        <w:ind w:left="851"/>
        <w:jc w:val="both"/>
        <w:rPr>
          <w:szCs w:val="24"/>
        </w:rPr>
      </w:pPr>
    </w:p>
    <w:p w:rsidR="009A3AFE" w:rsidRDefault="009A3AFE" w:rsidP="009A3AFE">
      <w:pPr>
        <w:numPr>
          <w:ilvl w:val="0"/>
          <w:numId w:val="4"/>
        </w:numPr>
        <w:tabs>
          <w:tab w:val="clear" w:pos="825"/>
          <w:tab w:val="num" w:pos="851"/>
        </w:tabs>
        <w:ind w:left="1113" w:hanging="546"/>
        <w:rPr>
          <w:b/>
          <w:szCs w:val="24"/>
        </w:rPr>
      </w:pPr>
      <w:r>
        <w:rPr>
          <w:b/>
          <w:szCs w:val="24"/>
        </w:rPr>
        <w:t>Investment Manager expenses</w:t>
      </w:r>
    </w:p>
    <w:p w:rsidR="009A3AFE" w:rsidRDefault="009A3AFE" w:rsidP="009A3AFE">
      <w:pPr>
        <w:ind w:left="1113"/>
        <w:rPr>
          <w:b/>
          <w:szCs w:val="24"/>
        </w:rPr>
      </w:pPr>
    </w:p>
    <w:p w:rsidR="009A3AFE" w:rsidRDefault="009A3AFE" w:rsidP="009A3AFE">
      <w:pPr>
        <w:tabs>
          <w:tab w:val="left" w:pos="851"/>
        </w:tabs>
        <w:ind w:left="851"/>
        <w:jc w:val="both"/>
        <w:rPr>
          <w:rFonts w:cs="Arial"/>
          <w:szCs w:val="24"/>
        </w:rPr>
      </w:pPr>
      <w:r w:rsidRPr="007E4386">
        <w:rPr>
          <w:szCs w:val="24"/>
        </w:rPr>
        <w:t>Investment</w:t>
      </w:r>
      <w:r w:rsidRPr="007E4386">
        <w:rPr>
          <w:rFonts w:cs="Arial"/>
          <w:b/>
          <w:szCs w:val="24"/>
        </w:rPr>
        <w:t xml:space="preserve"> </w:t>
      </w:r>
      <w:r w:rsidRPr="007E4386">
        <w:rPr>
          <w:rFonts w:cs="Arial"/>
          <w:szCs w:val="24"/>
        </w:rPr>
        <w:t>management expenses</w:t>
      </w:r>
      <w:r>
        <w:rPr>
          <w:rFonts w:cs="Arial"/>
          <w:szCs w:val="24"/>
        </w:rPr>
        <w:t xml:space="preserve"> are accounted for on an accruals basis.  They </w:t>
      </w:r>
      <w:r w:rsidRPr="007E4386">
        <w:rPr>
          <w:rFonts w:cs="Arial"/>
          <w:szCs w:val="24"/>
        </w:rPr>
        <w:t>include the fees paid and due to the fund managers</w:t>
      </w:r>
      <w:r>
        <w:rPr>
          <w:rFonts w:cs="Arial"/>
          <w:szCs w:val="24"/>
        </w:rPr>
        <w:t xml:space="preserve">, custodian, actuarial fees and </w:t>
      </w:r>
      <w:r w:rsidRPr="007E4386">
        <w:rPr>
          <w:rFonts w:cs="Arial"/>
          <w:szCs w:val="24"/>
        </w:rPr>
        <w:t xml:space="preserve">performance measurement and investment consultant fees. </w:t>
      </w:r>
    </w:p>
    <w:p w:rsidR="009A3AFE" w:rsidRDefault="009A3AFE" w:rsidP="009A3AFE">
      <w:pPr>
        <w:tabs>
          <w:tab w:val="left" w:pos="851"/>
        </w:tabs>
        <w:ind w:left="851"/>
        <w:jc w:val="both"/>
        <w:rPr>
          <w:rFonts w:cs="Arial"/>
          <w:szCs w:val="24"/>
        </w:rPr>
      </w:pPr>
    </w:p>
    <w:p w:rsidR="009A3AFE" w:rsidRDefault="009A3AFE" w:rsidP="009A3AFE">
      <w:pPr>
        <w:tabs>
          <w:tab w:val="left" w:pos="851"/>
        </w:tabs>
        <w:ind w:left="851"/>
        <w:jc w:val="both"/>
        <w:rPr>
          <w:rFonts w:cs="Arial"/>
          <w:szCs w:val="24"/>
        </w:rPr>
      </w:pPr>
      <w:r>
        <w:rPr>
          <w:rFonts w:cs="Arial"/>
          <w:szCs w:val="24"/>
        </w:rPr>
        <w:t>Fees of the external investment managers and custodian are agreed in the respective mandates governing their appointments.  Broadly, these are based on the market value of investments under their management and therefore increase or reduce as the value of these investments change.</w:t>
      </w:r>
    </w:p>
    <w:p w:rsidR="009A3AFE" w:rsidRDefault="009A3AFE" w:rsidP="009A3AFE">
      <w:pPr>
        <w:tabs>
          <w:tab w:val="left" w:pos="851"/>
        </w:tabs>
        <w:ind w:left="851"/>
        <w:jc w:val="both"/>
        <w:rPr>
          <w:rFonts w:cs="Arial"/>
          <w:szCs w:val="24"/>
        </w:rPr>
      </w:pPr>
    </w:p>
    <w:p w:rsidR="009A3AFE" w:rsidRDefault="009A3AFE" w:rsidP="009A3AFE">
      <w:pPr>
        <w:tabs>
          <w:tab w:val="left" w:pos="851"/>
        </w:tabs>
        <w:ind w:left="851"/>
        <w:jc w:val="both"/>
        <w:rPr>
          <w:rFonts w:cs="Arial"/>
          <w:szCs w:val="24"/>
        </w:rPr>
      </w:pPr>
      <w:r w:rsidRPr="00B2040B">
        <w:rPr>
          <w:rFonts w:cs="Arial"/>
          <w:szCs w:val="24"/>
        </w:rPr>
        <w:t>The fund does not currently pay performance related fees to its investment managers.</w:t>
      </w:r>
    </w:p>
    <w:p w:rsidR="009A3AFE" w:rsidRPr="007E4386" w:rsidRDefault="009A3AFE" w:rsidP="009A3AFE">
      <w:pPr>
        <w:tabs>
          <w:tab w:val="left" w:pos="851"/>
        </w:tabs>
        <w:ind w:left="851"/>
        <w:jc w:val="both"/>
        <w:rPr>
          <w:rFonts w:cs="Arial"/>
          <w:b/>
          <w:szCs w:val="24"/>
        </w:rPr>
      </w:pPr>
      <w:r>
        <w:rPr>
          <w:rFonts w:cs="Arial"/>
          <w:szCs w:val="24"/>
        </w:rPr>
        <w:t>When an investment manager's fee note has not been received by the net asset statement date, an estimate based on market value of their mandate as at year end is used for the inclusion in the fund account</w:t>
      </w:r>
      <w:r w:rsidRPr="00824B09">
        <w:rPr>
          <w:rFonts w:cs="Arial"/>
          <w:szCs w:val="24"/>
        </w:rPr>
        <w:t>.  In 2011/12 £1,262,317.80 of fees is based on such estimates (2010/11 £1,294,239.45).</w:t>
      </w:r>
    </w:p>
    <w:p w:rsidR="009A3AFE" w:rsidRDefault="009A3AFE" w:rsidP="009A3AFE">
      <w:pPr>
        <w:rPr>
          <w:b/>
          <w:szCs w:val="24"/>
        </w:rPr>
      </w:pPr>
    </w:p>
    <w:p w:rsidR="00F332F8" w:rsidRPr="003B5697" w:rsidRDefault="00F332F8" w:rsidP="009A3AFE">
      <w:pPr>
        <w:rPr>
          <w:b/>
          <w:szCs w:val="24"/>
        </w:rPr>
      </w:pPr>
    </w:p>
    <w:p w:rsidR="009A3AFE" w:rsidRDefault="009A3AFE" w:rsidP="009A3AFE">
      <w:pPr>
        <w:ind w:left="426"/>
        <w:rPr>
          <w:b/>
          <w:szCs w:val="24"/>
        </w:rPr>
      </w:pPr>
      <w:r>
        <w:rPr>
          <w:b/>
          <w:szCs w:val="24"/>
        </w:rPr>
        <w:t>Net asset statement</w:t>
      </w:r>
    </w:p>
    <w:p w:rsidR="009A3AFE" w:rsidRPr="00326069" w:rsidRDefault="009A3AFE" w:rsidP="009A3AFE">
      <w:pPr>
        <w:rPr>
          <w:b/>
          <w:szCs w:val="24"/>
        </w:rPr>
      </w:pPr>
    </w:p>
    <w:p w:rsidR="009A3AFE" w:rsidRDefault="009A3AFE" w:rsidP="009A3AFE">
      <w:pPr>
        <w:numPr>
          <w:ilvl w:val="0"/>
          <w:numId w:val="4"/>
        </w:numPr>
        <w:tabs>
          <w:tab w:val="clear" w:pos="825"/>
          <w:tab w:val="num" w:pos="851"/>
        </w:tabs>
        <w:ind w:left="1113" w:hanging="546"/>
        <w:rPr>
          <w:b/>
          <w:szCs w:val="24"/>
        </w:rPr>
      </w:pPr>
      <w:r>
        <w:rPr>
          <w:b/>
          <w:szCs w:val="24"/>
        </w:rPr>
        <w:t xml:space="preserve">Financial Instruments </w:t>
      </w:r>
    </w:p>
    <w:p w:rsidR="009A3AFE" w:rsidRDefault="009A3AFE" w:rsidP="009A3AFE">
      <w:pPr>
        <w:ind w:left="1113"/>
        <w:rPr>
          <w:b/>
          <w:szCs w:val="24"/>
        </w:rPr>
      </w:pPr>
    </w:p>
    <w:p w:rsidR="009A3AFE" w:rsidRDefault="009A3AFE" w:rsidP="009A3AFE">
      <w:pPr>
        <w:pStyle w:val="BodyTextIndent2"/>
        <w:tabs>
          <w:tab w:val="left" w:pos="851"/>
        </w:tabs>
        <w:spacing w:after="0"/>
        <w:ind w:left="851"/>
        <w:rPr>
          <w:szCs w:val="24"/>
        </w:rPr>
      </w:pPr>
      <w:r>
        <w:rPr>
          <w:szCs w:val="24"/>
        </w:rPr>
        <w:t>Financial assets are included in the net asset statement on a fair value basis as at the reporting date.  A financial asset is recognised in the net asset statement on the date the fund becomes party to the contractual acquisition of the asset.  From this date any gains or losses arising from changes in the fair value of the asset are recognised by the fund.</w:t>
      </w:r>
    </w:p>
    <w:p w:rsidR="009A3AFE" w:rsidRDefault="009A3AFE" w:rsidP="009A3AFE">
      <w:pPr>
        <w:pStyle w:val="BodyTextIndent2"/>
        <w:tabs>
          <w:tab w:val="left" w:pos="851"/>
        </w:tabs>
        <w:spacing w:after="0"/>
        <w:ind w:left="851"/>
        <w:rPr>
          <w:szCs w:val="24"/>
        </w:rPr>
      </w:pPr>
    </w:p>
    <w:p w:rsidR="009A3AFE" w:rsidRDefault="009A3AFE" w:rsidP="009A3AFE">
      <w:pPr>
        <w:pStyle w:val="BodyTextIndent2"/>
        <w:tabs>
          <w:tab w:val="left" w:pos="851"/>
        </w:tabs>
        <w:spacing w:after="0"/>
        <w:ind w:left="851"/>
        <w:rPr>
          <w:szCs w:val="24"/>
        </w:rPr>
      </w:pPr>
      <w:r w:rsidRPr="000A78DD">
        <w:rPr>
          <w:szCs w:val="24"/>
        </w:rPr>
        <w:t xml:space="preserve">On initial recognition the Fund </w:t>
      </w:r>
      <w:r>
        <w:rPr>
          <w:szCs w:val="24"/>
        </w:rPr>
        <w:t>is required to classify financial assets and liabilities into held to maturity investments, available for sale financial assets, held for trading, designated at fair value through profit and loss or loans and receivables.</w:t>
      </w:r>
    </w:p>
    <w:p w:rsidR="009A3AFE" w:rsidRDefault="009A3AFE" w:rsidP="009A3AFE">
      <w:pPr>
        <w:pStyle w:val="BodyTextIndent2"/>
        <w:tabs>
          <w:tab w:val="left" w:pos="851"/>
        </w:tabs>
        <w:spacing w:after="0"/>
        <w:ind w:left="851"/>
        <w:rPr>
          <w:szCs w:val="24"/>
        </w:rPr>
      </w:pPr>
    </w:p>
    <w:p w:rsidR="009A3AFE" w:rsidRDefault="009A3AFE" w:rsidP="009A3AFE">
      <w:pPr>
        <w:pStyle w:val="BodyTextIndent2"/>
        <w:tabs>
          <w:tab w:val="left" w:pos="851"/>
        </w:tabs>
        <w:spacing w:after="0"/>
        <w:ind w:left="851"/>
        <w:rPr>
          <w:szCs w:val="24"/>
        </w:rPr>
      </w:pPr>
      <w:r>
        <w:rPr>
          <w:szCs w:val="24"/>
        </w:rPr>
        <w:t>The assets and liabilities held by Lancashire County Pension Fund are classified as designated at fair value through profit and loss, loans and receivables and liabilities at amortised cost.</w:t>
      </w:r>
    </w:p>
    <w:p w:rsidR="009A3AFE" w:rsidRPr="00384C6F" w:rsidRDefault="009A3AFE" w:rsidP="009A3AFE">
      <w:pPr>
        <w:pStyle w:val="BodyTextIndent2"/>
        <w:tabs>
          <w:tab w:val="left" w:pos="851"/>
        </w:tabs>
        <w:spacing w:after="0"/>
        <w:ind w:left="851"/>
        <w:rPr>
          <w:b/>
          <w:szCs w:val="24"/>
        </w:rPr>
      </w:pPr>
    </w:p>
    <w:p w:rsidR="009A3AFE" w:rsidRDefault="009A3AFE" w:rsidP="009A3AFE">
      <w:pPr>
        <w:pStyle w:val="BodyTextIndent2"/>
        <w:tabs>
          <w:tab w:val="left" w:pos="851"/>
        </w:tabs>
        <w:spacing w:after="0"/>
        <w:ind w:left="851"/>
        <w:rPr>
          <w:b/>
          <w:szCs w:val="24"/>
        </w:rPr>
      </w:pPr>
      <w:r w:rsidRPr="00384C6F">
        <w:rPr>
          <w:b/>
          <w:szCs w:val="24"/>
        </w:rPr>
        <w:t>Financial instruments at fair value through profit or loss</w:t>
      </w:r>
    </w:p>
    <w:p w:rsidR="009A3AFE" w:rsidRDefault="009A3AFE" w:rsidP="009A3AFE">
      <w:pPr>
        <w:pStyle w:val="BodyTextIndent2"/>
        <w:tabs>
          <w:tab w:val="left" w:pos="851"/>
        </w:tabs>
        <w:spacing w:after="0"/>
        <w:ind w:left="851"/>
        <w:rPr>
          <w:b/>
          <w:szCs w:val="24"/>
        </w:rPr>
      </w:pPr>
    </w:p>
    <w:p w:rsidR="009A3AFE" w:rsidRDefault="009A3AFE" w:rsidP="009A3AFE">
      <w:pPr>
        <w:pStyle w:val="BodyTextIndent2"/>
        <w:tabs>
          <w:tab w:val="left" w:pos="851"/>
        </w:tabs>
        <w:spacing w:after="0"/>
        <w:ind w:left="851"/>
        <w:rPr>
          <w:szCs w:val="24"/>
        </w:rPr>
      </w:pPr>
      <w:r>
        <w:rPr>
          <w:szCs w:val="24"/>
        </w:rPr>
        <w:t xml:space="preserve">Financial assets may be designated as at fair value through profit or loss only if such designation (a) eliminates or significantly reduces a measurement or recognition inconsistency; or (b) applies to a group of financial assets, financial liabilities or both that the fund manages and evaluates on a fair value basis; or (c) relates to an instrument that contains an embedded derivative which is not evidently closely related to the host contract.  </w:t>
      </w:r>
    </w:p>
    <w:p w:rsidR="009A3AFE" w:rsidRDefault="009A3AFE" w:rsidP="009A3AFE">
      <w:pPr>
        <w:pStyle w:val="BodyTextIndent2"/>
        <w:tabs>
          <w:tab w:val="left" w:pos="851"/>
        </w:tabs>
        <w:spacing w:after="0"/>
        <w:ind w:left="851"/>
        <w:rPr>
          <w:szCs w:val="24"/>
        </w:rPr>
      </w:pPr>
    </w:p>
    <w:p w:rsidR="00F332F8" w:rsidRDefault="00F332F8" w:rsidP="009A3AFE">
      <w:pPr>
        <w:pStyle w:val="BodyTextIndent2"/>
        <w:tabs>
          <w:tab w:val="left" w:pos="851"/>
        </w:tabs>
        <w:spacing w:after="0"/>
        <w:ind w:left="851"/>
        <w:rPr>
          <w:szCs w:val="24"/>
        </w:rPr>
      </w:pPr>
    </w:p>
    <w:p w:rsidR="00F332F8" w:rsidRDefault="00F332F8" w:rsidP="009A3AFE">
      <w:pPr>
        <w:pStyle w:val="BodyTextIndent2"/>
        <w:tabs>
          <w:tab w:val="left" w:pos="851"/>
        </w:tabs>
        <w:spacing w:after="0"/>
        <w:ind w:left="851"/>
        <w:rPr>
          <w:szCs w:val="24"/>
        </w:rPr>
      </w:pPr>
    </w:p>
    <w:p w:rsidR="00F332F8" w:rsidRDefault="00F332F8" w:rsidP="009A3AFE">
      <w:pPr>
        <w:pStyle w:val="BodyTextIndent2"/>
        <w:tabs>
          <w:tab w:val="left" w:pos="851"/>
        </w:tabs>
        <w:spacing w:after="0"/>
        <w:ind w:left="851"/>
        <w:rPr>
          <w:szCs w:val="24"/>
        </w:rPr>
      </w:pPr>
    </w:p>
    <w:p w:rsidR="009A3AFE" w:rsidRDefault="009A3AFE" w:rsidP="009A3AFE">
      <w:pPr>
        <w:pStyle w:val="BodyTextIndent2"/>
        <w:tabs>
          <w:tab w:val="left" w:pos="851"/>
        </w:tabs>
        <w:spacing w:after="0"/>
        <w:ind w:left="851"/>
        <w:rPr>
          <w:b/>
          <w:szCs w:val="24"/>
        </w:rPr>
      </w:pPr>
      <w:r w:rsidRPr="00384C6F">
        <w:rPr>
          <w:b/>
          <w:szCs w:val="24"/>
        </w:rPr>
        <w:t>Loans and receivables</w:t>
      </w:r>
    </w:p>
    <w:p w:rsidR="009A3AFE" w:rsidRDefault="009A3AFE" w:rsidP="009A3AFE">
      <w:pPr>
        <w:pStyle w:val="BodyTextIndent2"/>
        <w:tabs>
          <w:tab w:val="left" w:pos="851"/>
        </w:tabs>
        <w:spacing w:after="0"/>
        <w:ind w:left="851"/>
        <w:rPr>
          <w:b/>
          <w:szCs w:val="24"/>
        </w:rPr>
      </w:pPr>
    </w:p>
    <w:p w:rsidR="009A3AFE" w:rsidRDefault="009A3AFE" w:rsidP="009A3AFE">
      <w:pPr>
        <w:pStyle w:val="BodyTextIndent2"/>
        <w:tabs>
          <w:tab w:val="left" w:pos="851"/>
        </w:tabs>
        <w:spacing w:after="0"/>
        <w:ind w:left="851"/>
        <w:rPr>
          <w:szCs w:val="24"/>
        </w:rPr>
      </w:pPr>
      <w:r>
        <w:rPr>
          <w:szCs w:val="24"/>
        </w:rPr>
        <w:t>Loans and receivables are non derivative financial assets with fixed or determinable payments that are not quoted in an active market.</w:t>
      </w:r>
    </w:p>
    <w:p w:rsidR="009A3AFE" w:rsidRDefault="009A3AFE" w:rsidP="009A3AFE">
      <w:pPr>
        <w:pStyle w:val="BodyTextIndent2"/>
        <w:tabs>
          <w:tab w:val="left" w:pos="851"/>
        </w:tabs>
        <w:spacing w:after="0"/>
        <w:ind w:left="851"/>
        <w:rPr>
          <w:szCs w:val="24"/>
        </w:rPr>
      </w:pPr>
    </w:p>
    <w:p w:rsidR="009A3AFE" w:rsidRDefault="009A3AFE" w:rsidP="009A3AFE">
      <w:pPr>
        <w:pStyle w:val="BodyTextIndent2"/>
        <w:tabs>
          <w:tab w:val="left" w:pos="851"/>
        </w:tabs>
        <w:spacing w:after="0"/>
        <w:ind w:left="851"/>
        <w:rPr>
          <w:szCs w:val="24"/>
        </w:rPr>
      </w:pPr>
      <w:r>
        <w:rPr>
          <w:szCs w:val="24"/>
        </w:rPr>
        <w:t>The fund's loans and receivables comprise of trade and other receivables and cash deposits.</w:t>
      </w:r>
    </w:p>
    <w:p w:rsidR="009A3AFE" w:rsidRDefault="009A3AFE" w:rsidP="009A3AFE">
      <w:pPr>
        <w:pStyle w:val="BodyTextIndent2"/>
        <w:tabs>
          <w:tab w:val="left" w:pos="851"/>
        </w:tabs>
        <w:spacing w:after="0"/>
        <w:ind w:left="851"/>
        <w:rPr>
          <w:szCs w:val="24"/>
        </w:rPr>
      </w:pPr>
    </w:p>
    <w:p w:rsidR="009A3AFE" w:rsidRDefault="009A3AFE" w:rsidP="009A3AFE">
      <w:pPr>
        <w:pStyle w:val="BodyTextIndent2"/>
        <w:tabs>
          <w:tab w:val="left" w:pos="851"/>
        </w:tabs>
        <w:spacing w:after="0"/>
        <w:ind w:left="851"/>
        <w:rPr>
          <w:b/>
          <w:szCs w:val="24"/>
        </w:rPr>
      </w:pPr>
    </w:p>
    <w:p w:rsidR="009A3AFE" w:rsidRDefault="009A3AFE" w:rsidP="009A3AFE">
      <w:pPr>
        <w:pStyle w:val="BodyTextIndent2"/>
        <w:tabs>
          <w:tab w:val="left" w:pos="851"/>
        </w:tabs>
        <w:spacing w:after="0"/>
        <w:ind w:left="851"/>
        <w:rPr>
          <w:b/>
          <w:szCs w:val="24"/>
        </w:rPr>
      </w:pPr>
      <w:r w:rsidRPr="009C228D">
        <w:rPr>
          <w:b/>
          <w:szCs w:val="24"/>
        </w:rPr>
        <w:t>Financial liabilities at amortised cost</w:t>
      </w:r>
    </w:p>
    <w:p w:rsidR="009A3AFE" w:rsidRDefault="009A3AFE" w:rsidP="009A3AFE">
      <w:pPr>
        <w:pStyle w:val="BodyTextIndent2"/>
        <w:tabs>
          <w:tab w:val="left" w:pos="851"/>
        </w:tabs>
        <w:spacing w:after="0"/>
        <w:ind w:left="851"/>
        <w:rPr>
          <w:b/>
          <w:szCs w:val="24"/>
        </w:rPr>
      </w:pPr>
    </w:p>
    <w:p w:rsidR="009A3AFE" w:rsidRDefault="009A3AFE" w:rsidP="009A3AFE">
      <w:pPr>
        <w:pStyle w:val="BodyTextIndent2"/>
        <w:tabs>
          <w:tab w:val="left" w:pos="851"/>
        </w:tabs>
        <w:spacing w:after="0"/>
        <w:ind w:left="851"/>
        <w:rPr>
          <w:szCs w:val="24"/>
        </w:rPr>
      </w:pPr>
      <w:r w:rsidRPr="009C228D">
        <w:rPr>
          <w:szCs w:val="24"/>
        </w:rPr>
        <w:t>Financial liabilities at amortised cost are the default category for financial instruments that do not meet the definition of financial liabilities at fair value through profit and loss.</w:t>
      </w:r>
    </w:p>
    <w:p w:rsidR="009A3AFE" w:rsidRDefault="009A3AFE" w:rsidP="009A3AFE">
      <w:pPr>
        <w:pStyle w:val="BodyTextIndent2"/>
        <w:tabs>
          <w:tab w:val="left" w:pos="851"/>
        </w:tabs>
        <w:spacing w:after="0"/>
        <w:ind w:left="851"/>
        <w:rPr>
          <w:szCs w:val="24"/>
        </w:rPr>
      </w:pPr>
    </w:p>
    <w:p w:rsidR="009A3AFE" w:rsidRPr="009C228D" w:rsidRDefault="009A3AFE" w:rsidP="009A3AFE">
      <w:pPr>
        <w:pStyle w:val="BodyTextIndent2"/>
        <w:tabs>
          <w:tab w:val="left" w:pos="851"/>
        </w:tabs>
        <w:spacing w:after="0"/>
        <w:ind w:left="851"/>
        <w:rPr>
          <w:szCs w:val="24"/>
        </w:rPr>
      </w:pPr>
    </w:p>
    <w:p w:rsidR="009A3AFE" w:rsidRPr="00DE0905" w:rsidRDefault="009A3AFE" w:rsidP="009A3AFE">
      <w:pPr>
        <w:numPr>
          <w:ilvl w:val="0"/>
          <w:numId w:val="4"/>
        </w:numPr>
        <w:tabs>
          <w:tab w:val="clear" w:pos="825"/>
          <w:tab w:val="num" w:pos="851"/>
        </w:tabs>
        <w:ind w:left="1113" w:hanging="546"/>
        <w:rPr>
          <w:szCs w:val="24"/>
        </w:rPr>
      </w:pPr>
      <w:r>
        <w:rPr>
          <w:b/>
          <w:szCs w:val="24"/>
        </w:rPr>
        <w:t>Valuation of Investments</w:t>
      </w:r>
    </w:p>
    <w:p w:rsidR="009A3AFE" w:rsidRPr="00166665" w:rsidRDefault="009A3AFE" w:rsidP="009A3AFE">
      <w:pPr>
        <w:ind w:left="1113"/>
        <w:rPr>
          <w:szCs w:val="24"/>
        </w:rPr>
      </w:pPr>
    </w:p>
    <w:p w:rsidR="009A3AFE" w:rsidRDefault="009A3AFE" w:rsidP="009A3AFE">
      <w:pPr>
        <w:pStyle w:val="BodyTextIndent2"/>
        <w:tabs>
          <w:tab w:val="left" w:pos="851"/>
        </w:tabs>
        <w:spacing w:after="0"/>
        <w:ind w:left="851"/>
        <w:rPr>
          <w:szCs w:val="24"/>
        </w:rPr>
      </w:pPr>
      <w:r w:rsidRPr="00166665">
        <w:rPr>
          <w:szCs w:val="24"/>
        </w:rPr>
        <w:t>Investments are shown at their fair value as at 31 March 201</w:t>
      </w:r>
      <w:r>
        <w:rPr>
          <w:szCs w:val="24"/>
        </w:rPr>
        <w:t>2</w:t>
      </w:r>
      <w:r w:rsidRPr="00166665">
        <w:rPr>
          <w:szCs w:val="24"/>
        </w:rPr>
        <w:t>.  The fair value is the current bid price for quoted securities and unitised securities.</w:t>
      </w:r>
    </w:p>
    <w:p w:rsidR="009A3AFE" w:rsidRPr="00166665" w:rsidRDefault="009A3AFE" w:rsidP="009A3AFE">
      <w:pPr>
        <w:pStyle w:val="BodyTextIndent2"/>
        <w:tabs>
          <w:tab w:val="left" w:pos="851"/>
        </w:tabs>
        <w:spacing w:after="0"/>
        <w:ind w:left="851"/>
        <w:rPr>
          <w:szCs w:val="24"/>
        </w:rPr>
      </w:pPr>
    </w:p>
    <w:p w:rsidR="009A3AFE" w:rsidRDefault="009A3AFE" w:rsidP="009A3AFE">
      <w:pPr>
        <w:ind w:left="851"/>
        <w:jc w:val="both"/>
        <w:rPr>
          <w:szCs w:val="24"/>
        </w:rPr>
      </w:pPr>
      <w:r w:rsidRPr="00166665">
        <w:rPr>
          <w:szCs w:val="24"/>
        </w:rPr>
        <w:t>Transaction costs are included</w:t>
      </w:r>
      <w:r>
        <w:rPr>
          <w:szCs w:val="24"/>
        </w:rPr>
        <w:t xml:space="preserve"> in carrying value of investments</w:t>
      </w:r>
      <w:r w:rsidRPr="00166665">
        <w:rPr>
          <w:szCs w:val="24"/>
        </w:rPr>
        <w:t xml:space="preserve">.  Transaction costs include costs charged directly to the Pension Fund, such as fees, commissions paid to agents, brokers and dealers, levies by regulatory agencies and securities exchanges and transfer taxes and duties.  </w:t>
      </w:r>
    </w:p>
    <w:p w:rsidR="009A3AFE" w:rsidRPr="00166665" w:rsidRDefault="009A3AFE" w:rsidP="009A3AFE">
      <w:pPr>
        <w:ind w:left="851"/>
        <w:jc w:val="both"/>
        <w:rPr>
          <w:szCs w:val="24"/>
        </w:rPr>
      </w:pPr>
    </w:p>
    <w:p w:rsidR="009A3AFE" w:rsidRDefault="009A3AFE" w:rsidP="009A3AFE">
      <w:pPr>
        <w:tabs>
          <w:tab w:val="left" w:pos="851"/>
        </w:tabs>
        <w:ind w:left="851"/>
        <w:jc w:val="both"/>
        <w:rPr>
          <w:szCs w:val="24"/>
        </w:rPr>
      </w:pPr>
      <w:r w:rsidRPr="00166665">
        <w:rPr>
          <w:szCs w:val="24"/>
        </w:rPr>
        <w:t>Investments in Private Equity are valued at fair value in accordance with the guidelines issued by the British Venture Capital Association, or equivalent.</w:t>
      </w:r>
    </w:p>
    <w:p w:rsidR="009A3AFE" w:rsidRPr="00166665" w:rsidRDefault="009A3AFE" w:rsidP="009A3AFE">
      <w:pPr>
        <w:tabs>
          <w:tab w:val="left" w:pos="851"/>
        </w:tabs>
        <w:ind w:left="851"/>
        <w:jc w:val="both"/>
        <w:rPr>
          <w:szCs w:val="24"/>
        </w:rPr>
      </w:pPr>
    </w:p>
    <w:p w:rsidR="009A3AFE" w:rsidRDefault="009A3AFE" w:rsidP="009A3AFE">
      <w:pPr>
        <w:tabs>
          <w:tab w:val="left" w:pos="851"/>
        </w:tabs>
        <w:ind w:left="851"/>
        <w:jc w:val="both"/>
        <w:rPr>
          <w:szCs w:val="24"/>
        </w:rPr>
      </w:pPr>
      <w:r w:rsidRPr="00166665">
        <w:rPr>
          <w:szCs w:val="24"/>
        </w:rPr>
        <w:t>Investments in the Hedge Fund of Funds portfolio are valued at fair value on the basis of the closing market valuation provided by the administrator of each underlying fund.</w:t>
      </w:r>
    </w:p>
    <w:p w:rsidR="009A3AFE" w:rsidRDefault="009A3AFE" w:rsidP="009A3AFE">
      <w:pPr>
        <w:tabs>
          <w:tab w:val="left" w:pos="851"/>
        </w:tabs>
        <w:ind w:left="851"/>
        <w:jc w:val="both"/>
        <w:rPr>
          <w:szCs w:val="24"/>
        </w:rPr>
      </w:pPr>
    </w:p>
    <w:p w:rsidR="009A3AFE" w:rsidRDefault="009A3AFE" w:rsidP="009A3AFE">
      <w:pPr>
        <w:tabs>
          <w:tab w:val="left" w:pos="851"/>
        </w:tabs>
        <w:ind w:left="851"/>
        <w:jc w:val="both"/>
        <w:rPr>
          <w:szCs w:val="24"/>
        </w:rPr>
      </w:pPr>
      <w:r>
        <w:rPr>
          <w:szCs w:val="24"/>
        </w:rPr>
        <w:t xml:space="preserve">The methodologies adopted in valuing financial instruments are explained in greater detail in </w:t>
      </w:r>
      <w:r w:rsidRPr="00030B7C">
        <w:rPr>
          <w:szCs w:val="24"/>
        </w:rPr>
        <w:t>note 1</w:t>
      </w:r>
      <w:r>
        <w:rPr>
          <w:szCs w:val="24"/>
        </w:rPr>
        <w:t>8</w:t>
      </w:r>
      <w:r w:rsidRPr="00030B7C">
        <w:rPr>
          <w:szCs w:val="24"/>
        </w:rPr>
        <w:t>.</w:t>
      </w:r>
    </w:p>
    <w:p w:rsidR="009A3AFE" w:rsidRDefault="009A3AFE" w:rsidP="009A3AFE">
      <w:pPr>
        <w:tabs>
          <w:tab w:val="left" w:pos="851"/>
        </w:tabs>
        <w:ind w:left="851"/>
        <w:jc w:val="both"/>
        <w:rPr>
          <w:szCs w:val="24"/>
        </w:rPr>
      </w:pPr>
    </w:p>
    <w:p w:rsidR="009A3AFE" w:rsidRPr="00DE0905" w:rsidRDefault="009A3AFE" w:rsidP="009A3AFE">
      <w:pPr>
        <w:numPr>
          <w:ilvl w:val="0"/>
          <w:numId w:val="4"/>
        </w:numPr>
        <w:tabs>
          <w:tab w:val="clear" w:pos="825"/>
          <w:tab w:val="num" w:pos="851"/>
        </w:tabs>
        <w:ind w:left="1113" w:hanging="546"/>
        <w:rPr>
          <w:szCs w:val="24"/>
        </w:rPr>
      </w:pPr>
      <w:r>
        <w:rPr>
          <w:b/>
          <w:szCs w:val="24"/>
        </w:rPr>
        <w:t>Currency Translation</w:t>
      </w:r>
    </w:p>
    <w:p w:rsidR="009A3AFE" w:rsidRPr="000F6432" w:rsidRDefault="009A3AFE" w:rsidP="009A3AFE">
      <w:pPr>
        <w:ind w:left="1113"/>
        <w:rPr>
          <w:szCs w:val="24"/>
        </w:rPr>
      </w:pPr>
    </w:p>
    <w:p w:rsidR="009A3AFE" w:rsidRDefault="009A3AFE" w:rsidP="009A3AFE">
      <w:pPr>
        <w:pStyle w:val="BodyTextIndent2"/>
        <w:tabs>
          <w:tab w:val="left" w:pos="851"/>
        </w:tabs>
        <w:spacing w:after="0"/>
        <w:ind w:left="851"/>
        <w:rPr>
          <w:szCs w:val="24"/>
        </w:rPr>
      </w:pPr>
      <w:r>
        <w:rPr>
          <w:szCs w:val="24"/>
        </w:rPr>
        <w:t>Assets and liabilities</w:t>
      </w:r>
      <w:r w:rsidRPr="00166665">
        <w:rPr>
          <w:szCs w:val="24"/>
        </w:rPr>
        <w:t xml:space="preserve"> denominated in foreign currency are stated in the accounts by the application of the appropriate closing rate of exchange ruling at 31 March 201</w:t>
      </w:r>
      <w:r>
        <w:rPr>
          <w:szCs w:val="24"/>
        </w:rPr>
        <w:t>2.  Any gains or losses are treated as part of a change in market value of investments.</w:t>
      </w:r>
    </w:p>
    <w:p w:rsidR="009A3AFE" w:rsidRPr="008B2220" w:rsidRDefault="009A3AFE" w:rsidP="009A3AFE">
      <w:pPr>
        <w:pStyle w:val="BodyTextIndent2"/>
        <w:tabs>
          <w:tab w:val="left" w:pos="851"/>
        </w:tabs>
        <w:spacing w:after="0"/>
        <w:ind w:left="851"/>
        <w:rPr>
          <w:szCs w:val="24"/>
        </w:rPr>
      </w:pPr>
    </w:p>
    <w:p w:rsidR="009A3AFE" w:rsidRDefault="009A3AFE" w:rsidP="009A3AFE">
      <w:pPr>
        <w:numPr>
          <w:ilvl w:val="0"/>
          <w:numId w:val="4"/>
        </w:numPr>
        <w:tabs>
          <w:tab w:val="clear" w:pos="825"/>
          <w:tab w:val="num" w:pos="851"/>
        </w:tabs>
        <w:ind w:left="1113" w:hanging="546"/>
        <w:rPr>
          <w:b/>
          <w:szCs w:val="24"/>
        </w:rPr>
      </w:pPr>
      <w:r>
        <w:rPr>
          <w:b/>
          <w:szCs w:val="24"/>
        </w:rPr>
        <w:t>Acquisition costs of Investments</w:t>
      </w:r>
    </w:p>
    <w:p w:rsidR="009A3AFE" w:rsidRDefault="009A3AFE" w:rsidP="009A3AFE">
      <w:pPr>
        <w:ind w:left="1113"/>
        <w:rPr>
          <w:b/>
          <w:szCs w:val="24"/>
        </w:rPr>
      </w:pPr>
    </w:p>
    <w:p w:rsidR="009A3AFE" w:rsidRDefault="009A3AFE" w:rsidP="009A3AFE">
      <w:pPr>
        <w:pStyle w:val="BodyTextIndent2"/>
        <w:tabs>
          <w:tab w:val="left" w:pos="851"/>
        </w:tabs>
        <w:spacing w:after="0"/>
        <w:ind w:left="0"/>
        <w:rPr>
          <w:szCs w:val="24"/>
        </w:rPr>
      </w:pPr>
      <w:r>
        <w:rPr>
          <w:szCs w:val="24"/>
        </w:rPr>
        <w:tab/>
        <w:t xml:space="preserve"> T</w:t>
      </w:r>
      <w:r w:rsidRPr="00D37FEA">
        <w:rPr>
          <w:szCs w:val="24"/>
        </w:rPr>
        <w:t xml:space="preserve">he </w:t>
      </w:r>
      <w:r>
        <w:rPr>
          <w:szCs w:val="24"/>
        </w:rPr>
        <w:t>Acquisition costs of investments are included within the purchase price.</w:t>
      </w:r>
    </w:p>
    <w:p w:rsidR="009A3AFE" w:rsidRDefault="009A3AFE" w:rsidP="009A3AFE">
      <w:pPr>
        <w:pStyle w:val="BodyTextIndent2"/>
        <w:tabs>
          <w:tab w:val="left" w:pos="851"/>
        </w:tabs>
        <w:spacing w:after="0"/>
        <w:rPr>
          <w:szCs w:val="24"/>
        </w:rPr>
      </w:pPr>
    </w:p>
    <w:p w:rsidR="009A3AFE" w:rsidRDefault="009A3AFE" w:rsidP="009A3AFE">
      <w:pPr>
        <w:numPr>
          <w:ilvl w:val="0"/>
          <w:numId w:val="4"/>
        </w:numPr>
        <w:tabs>
          <w:tab w:val="clear" w:pos="825"/>
          <w:tab w:val="num" w:pos="851"/>
        </w:tabs>
        <w:ind w:left="1113" w:hanging="546"/>
        <w:rPr>
          <w:b/>
          <w:szCs w:val="24"/>
        </w:rPr>
      </w:pPr>
      <w:r w:rsidRPr="008B2220">
        <w:rPr>
          <w:b/>
          <w:szCs w:val="24"/>
        </w:rPr>
        <w:t xml:space="preserve"> </w:t>
      </w:r>
      <w:r>
        <w:rPr>
          <w:b/>
          <w:szCs w:val="24"/>
        </w:rPr>
        <w:t>Property</w:t>
      </w:r>
    </w:p>
    <w:p w:rsidR="009A3AFE" w:rsidRPr="008B2220" w:rsidRDefault="009A3AFE" w:rsidP="009A3AFE">
      <w:pPr>
        <w:ind w:left="1113"/>
        <w:rPr>
          <w:b/>
          <w:szCs w:val="24"/>
        </w:rPr>
      </w:pPr>
    </w:p>
    <w:p w:rsidR="00F332F8" w:rsidRDefault="009A3AFE" w:rsidP="009A3AFE">
      <w:pPr>
        <w:tabs>
          <w:tab w:val="left" w:pos="851"/>
        </w:tabs>
        <w:ind w:left="851"/>
        <w:jc w:val="both"/>
        <w:rPr>
          <w:szCs w:val="24"/>
        </w:rPr>
      </w:pPr>
      <w:r>
        <w:rPr>
          <w:szCs w:val="24"/>
        </w:rPr>
        <w:t xml:space="preserve">The fund's freehold and leasehold properties were valued on 31 March 2012 by Cushman &amp; Wakefield, acting as External Valuer.  The valuations were in </w:t>
      </w:r>
    </w:p>
    <w:p w:rsidR="009A3AFE" w:rsidRDefault="009A3AFE" w:rsidP="009A3AFE">
      <w:pPr>
        <w:tabs>
          <w:tab w:val="left" w:pos="851"/>
        </w:tabs>
        <w:ind w:left="851"/>
        <w:jc w:val="both"/>
        <w:rPr>
          <w:szCs w:val="24"/>
        </w:rPr>
      </w:pPr>
      <w:r>
        <w:rPr>
          <w:szCs w:val="24"/>
        </w:rPr>
        <w:lastRenderedPageBreak/>
        <w:t>accordance with the requirements of the RICS Valuation standards and the International Valuation Standards.  The valuation of each property was on the basis of Market Value, assuming that the property would be sold subject to any existing leases.  The valuer's opinion of Market Value and Existing Use Value was primarily derived using comparable recent market transactions on arm's length terms.</w:t>
      </w:r>
    </w:p>
    <w:p w:rsidR="009A3AFE" w:rsidRDefault="009A3AFE" w:rsidP="009A3AFE">
      <w:pPr>
        <w:tabs>
          <w:tab w:val="left" w:pos="851"/>
        </w:tabs>
        <w:ind w:left="851"/>
        <w:jc w:val="both"/>
        <w:rPr>
          <w:szCs w:val="24"/>
        </w:rPr>
      </w:pPr>
    </w:p>
    <w:p w:rsidR="009A3AFE" w:rsidRDefault="009A3AFE" w:rsidP="009A3AFE">
      <w:pPr>
        <w:numPr>
          <w:ilvl w:val="0"/>
          <w:numId w:val="4"/>
        </w:numPr>
        <w:tabs>
          <w:tab w:val="clear" w:pos="825"/>
          <w:tab w:val="num" w:pos="851"/>
        </w:tabs>
        <w:ind w:left="1113" w:hanging="546"/>
        <w:rPr>
          <w:b/>
          <w:szCs w:val="24"/>
        </w:rPr>
      </w:pPr>
      <w:r>
        <w:rPr>
          <w:b/>
          <w:szCs w:val="24"/>
        </w:rPr>
        <w:t>Derivatives</w:t>
      </w:r>
    </w:p>
    <w:p w:rsidR="009A3AFE" w:rsidRDefault="009A3AFE" w:rsidP="009A3AFE">
      <w:pPr>
        <w:ind w:left="1113"/>
        <w:rPr>
          <w:b/>
          <w:szCs w:val="24"/>
        </w:rPr>
      </w:pPr>
    </w:p>
    <w:p w:rsidR="009A3AFE" w:rsidRDefault="009A3AFE" w:rsidP="009A3AFE">
      <w:pPr>
        <w:pStyle w:val="BodyTextIndent2"/>
        <w:tabs>
          <w:tab w:val="left" w:pos="851"/>
        </w:tabs>
        <w:spacing w:after="0"/>
        <w:ind w:left="851"/>
        <w:rPr>
          <w:szCs w:val="24"/>
        </w:rPr>
      </w:pPr>
      <w:r>
        <w:rPr>
          <w:szCs w:val="24"/>
        </w:rPr>
        <w:t>The fund uses derivative financial instruments to manage its exposure to specific risks arising from its investment activities.  The fund does not hold derivatives for speculative purposes.</w:t>
      </w:r>
    </w:p>
    <w:p w:rsidR="009A3AFE" w:rsidRDefault="009A3AFE" w:rsidP="009A3AFE">
      <w:pPr>
        <w:pStyle w:val="BodyTextIndent2"/>
        <w:tabs>
          <w:tab w:val="left" w:pos="851"/>
        </w:tabs>
        <w:spacing w:after="0"/>
        <w:ind w:left="851"/>
        <w:rPr>
          <w:szCs w:val="24"/>
        </w:rPr>
      </w:pPr>
      <w:r>
        <w:rPr>
          <w:szCs w:val="24"/>
        </w:rPr>
        <w:t>Derivative contract assets are fair valued at bid prices and liabilities are fair valued at offer prices.  Changes in fair value of derivative contracts are included in change in market value.</w:t>
      </w:r>
    </w:p>
    <w:p w:rsidR="009A3AFE" w:rsidRDefault="009A3AFE" w:rsidP="009A3AFE">
      <w:pPr>
        <w:pStyle w:val="BodyTextIndent2"/>
        <w:tabs>
          <w:tab w:val="left" w:pos="851"/>
        </w:tabs>
        <w:spacing w:after="0"/>
        <w:ind w:left="851"/>
        <w:rPr>
          <w:szCs w:val="24"/>
        </w:rPr>
      </w:pPr>
      <w:r>
        <w:rPr>
          <w:szCs w:val="24"/>
        </w:rPr>
        <w:t>Future contracts</w:t>
      </w:r>
      <w:r w:rsidRPr="00166665">
        <w:rPr>
          <w:szCs w:val="24"/>
        </w:rPr>
        <w:t xml:space="preserve"> are exchange traded and fair value is determined using exchange prices at their reporting date. </w:t>
      </w:r>
      <w:r>
        <w:rPr>
          <w:szCs w:val="24"/>
        </w:rPr>
        <w:t>Amounts due or owed to the broker are amounts outstanding in respect of initial margin and variation margin.</w:t>
      </w:r>
    </w:p>
    <w:p w:rsidR="009A3AFE" w:rsidRPr="00166665" w:rsidRDefault="009A3AFE" w:rsidP="009A3AFE">
      <w:pPr>
        <w:pStyle w:val="BodyTextIndent2"/>
        <w:tabs>
          <w:tab w:val="left" w:pos="851"/>
        </w:tabs>
        <w:spacing w:after="0"/>
        <w:ind w:left="851"/>
        <w:rPr>
          <w:szCs w:val="24"/>
        </w:rPr>
      </w:pPr>
    </w:p>
    <w:p w:rsidR="009A3AFE" w:rsidRDefault="009A3AFE" w:rsidP="009A3AFE">
      <w:pPr>
        <w:pStyle w:val="BodyTextIndent2"/>
        <w:tabs>
          <w:tab w:val="left" w:pos="851"/>
        </w:tabs>
        <w:spacing w:after="0"/>
        <w:ind w:left="851"/>
        <w:rPr>
          <w:szCs w:val="24"/>
        </w:rPr>
      </w:pPr>
      <w:r w:rsidRPr="00166665">
        <w:rPr>
          <w:szCs w:val="24"/>
        </w:rPr>
        <w:t>Forward foreign exchange contracts, are over the counter contracts and are valued by determining the gain or loss that arise from closing out the contract at the reporting date, by entering into an equal and opposite contract at that date</w:t>
      </w:r>
      <w:r>
        <w:rPr>
          <w:szCs w:val="24"/>
        </w:rPr>
        <w:t>.</w:t>
      </w:r>
    </w:p>
    <w:p w:rsidR="009A3AFE" w:rsidRDefault="009A3AFE" w:rsidP="009A3AFE">
      <w:pPr>
        <w:pStyle w:val="BodyTextIndent2"/>
        <w:tabs>
          <w:tab w:val="left" w:pos="851"/>
        </w:tabs>
        <w:spacing w:after="0"/>
        <w:ind w:left="851"/>
        <w:rPr>
          <w:szCs w:val="24"/>
        </w:rPr>
      </w:pPr>
    </w:p>
    <w:p w:rsidR="009A3AFE" w:rsidRDefault="009A3AFE" w:rsidP="009A3AFE">
      <w:pPr>
        <w:numPr>
          <w:ilvl w:val="0"/>
          <w:numId w:val="4"/>
        </w:numPr>
        <w:tabs>
          <w:tab w:val="clear" w:pos="825"/>
          <w:tab w:val="num" w:pos="851"/>
        </w:tabs>
        <w:ind w:left="1113" w:hanging="546"/>
        <w:rPr>
          <w:b/>
          <w:szCs w:val="24"/>
        </w:rPr>
      </w:pPr>
      <w:r>
        <w:rPr>
          <w:b/>
          <w:szCs w:val="24"/>
        </w:rPr>
        <w:t>Cash and cash equivalents</w:t>
      </w:r>
    </w:p>
    <w:p w:rsidR="009A3AFE" w:rsidRDefault="009A3AFE" w:rsidP="009A3AFE">
      <w:pPr>
        <w:ind w:left="1113"/>
        <w:rPr>
          <w:b/>
          <w:szCs w:val="24"/>
        </w:rPr>
      </w:pPr>
    </w:p>
    <w:p w:rsidR="009A3AFE" w:rsidRDefault="009A3AFE" w:rsidP="009A3AFE">
      <w:pPr>
        <w:pStyle w:val="BodyTextIndent2"/>
        <w:tabs>
          <w:tab w:val="left" w:pos="851"/>
        </w:tabs>
        <w:spacing w:after="0"/>
        <w:ind w:left="851"/>
        <w:rPr>
          <w:szCs w:val="24"/>
        </w:rPr>
      </w:pPr>
      <w:r>
        <w:rPr>
          <w:szCs w:val="24"/>
        </w:rPr>
        <w:t>Cash comprises of cash in hand and demand deposits.</w:t>
      </w:r>
    </w:p>
    <w:p w:rsidR="009A3AFE" w:rsidRDefault="009A3AFE" w:rsidP="009A3AFE">
      <w:pPr>
        <w:pStyle w:val="BodyTextIndent2"/>
        <w:tabs>
          <w:tab w:val="left" w:pos="851"/>
        </w:tabs>
        <w:spacing w:after="0"/>
        <w:ind w:left="851"/>
        <w:rPr>
          <w:szCs w:val="24"/>
        </w:rPr>
      </w:pPr>
    </w:p>
    <w:p w:rsidR="009A3AFE" w:rsidRDefault="009A3AFE" w:rsidP="009A3AFE">
      <w:pPr>
        <w:pStyle w:val="BodyTextIndent2"/>
        <w:tabs>
          <w:tab w:val="left" w:pos="851"/>
        </w:tabs>
        <w:spacing w:after="0"/>
        <w:ind w:left="851"/>
        <w:rPr>
          <w:szCs w:val="24"/>
        </w:rPr>
      </w:pPr>
      <w:r>
        <w:rPr>
          <w:szCs w:val="24"/>
        </w:rPr>
        <w:t>Cash equivalents are short-term, highly liquid investments that are readily convertible to known amounts of cash and that are subject to minimal risk of changes in value.</w:t>
      </w:r>
    </w:p>
    <w:p w:rsidR="009A3AFE" w:rsidRDefault="009A3AFE" w:rsidP="009A3AFE">
      <w:pPr>
        <w:pStyle w:val="BodyTextIndent2"/>
        <w:tabs>
          <w:tab w:val="left" w:pos="851"/>
        </w:tabs>
        <w:spacing w:after="0"/>
        <w:ind w:left="851"/>
        <w:rPr>
          <w:szCs w:val="24"/>
        </w:rPr>
      </w:pPr>
    </w:p>
    <w:p w:rsidR="009A3AFE" w:rsidRDefault="009A3AFE" w:rsidP="009A3AFE">
      <w:pPr>
        <w:numPr>
          <w:ilvl w:val="0"/>
          <w:numId w:val="4"/>
        </w:numPr>
        <w:tabs>
          <w:tab w:val="clear" w:pos="825"/>
          <w:tab w:val="num" w:pos="851"/>
        </w:tabs>
        <w:ind w:left="1113" w:hanging="546"/>
        <w:rPr>
          <w:b/>
          <w:szCs w:val="24"/>
        </w:rPr>
      </w:pPr>
      <w:r>
        <w:rPr>
          <w:b/>
          <w:szCs w:val="24"/>
        </w:rPr>
        <w:t>Financial liabilities</w:t>
      </w:r>
    </w:p>
    <w:p w:rsidR="009A3AFE" w:rsidRDefault="009A3AFE" w:rsidP="009A3AFE">
      <w:pPr>
        <w:ind w:left="1113"/>
        <w:rPr>
          <w:b/>
          <w:szCs w:val="24"/>
        </w:rPr>
      </w:pPr>
    </w:p>
    <w:p w:rsidR="009A3AFE" w:rsidRDefault="009A3AFE" w:rsidP="009A3AFE">
      <w:pPr>
        <w:pStyle w:val="BodyTextIndent2"/>
        <w:tabs>
          <w:tab w:val="left" w:pos="851"/>
        </w:tabs>
        <w:spacing w:after="0"/>
        <w:ind w:left="851"/>
        <w:rPr>
          <w:szCs w:val="24"/>
        </w:rPr>
      </w:pPr>
      <w:r>
        <w:rPr>
          <w:szCs w:val="24"/>
        </w:rPr>
        <w:t>The fund recognises financial liabilities at fair value at the reporting date. A financial liability is recognised in the net asset statement on the date the fund becomes party to a liability.  From this date any gains or losses arising from changes in the fair value of the liability are recognised by the fund.</w:t>
      </w:r>
    </w:p>
    <w:p w:rsidR="009A3AFE" w:rsidRDefault="009A3AFE" w:rsidP="009A3AFE">
      <w:pPr>
        <w:pStyle w:val="BodyTextIndent2"/>
        <w:tabs>
          <w:tab w:val="left" w:pos="851"/>
        </w:tabs>
        <w:spacing w:after="0"/>
        <w:ind w:left="851"/>
        <w:rPr>
          <w:szCs w:val="24"/>
        </w:rPr>
      </w:pPr>
    </w:p>
    <w:p w:rsidR="009A3AFE" w:rsidRDefault="009A3AFE" w:rsidP="009A3AFE">
      <w:pPr>
        <w:numPr>
          <w:ilvl w:val="0"/>
          <w:numId w:val="4"/>
        </w:numPr>
        <w:tabs>
          <w:tab w:val="clear" w:pos="825"/>
          <w:tab w:val="num" w:pos="851"/>
        </w:tabs>
        <w:ind w:left="1113" w:hanging="546"/>
        <w:rPr>
          <w:b/>
          <w:szCs w:val="24"/>
        </w:rPr>
      </w:pPr>
      <w:r>
        <w:rPr>
          <w:b/>
          <w:szCs w:val="24"/>
        </w:rPr>
        <w:t>Actuarial present value of promised retirement benefits</w:t>
      </w:r>
    </w:p>
    <w:p w:rsidR="009A3AFE" w:rsidRDefault="009A3AFE" w:rsidP="009A3AFE">
      <w:pPr>
        <w:ind w:left="1113"/>
        <w:rPr>
          <w:b/>
          <w:szCs w:val="24"/>
        </w:rPr>
      </w:pPr>
    </w:p>
    <w:p w:rsidR="009A3AFE" w:rsidRDefault="009A3AFE" w:rsidP="009A3AFE">
      <w:pPr>
        <w:pStyle w:val="BodyTextIndent2"/>
        <w:tabs>
          <w:tab w:val="left" w:pos="851"/>
        </w:tabs>
        <w:spacing w:after="0"/>
        <w:ind w:left="851"/>
        <w:rPr>
          <w:szCs w:val="24"/>
        </w:rPr>
      </w:pPr>
      <w:r>
        <w:rPr>
          <w:szCs w:val="24"/>
        </w:rPr>
        <w:t>The actuarial present value of promised retirement benefits is assessed on a triennial basis by the scheme actuary in accordance with the requirements of IAS19 and relevant actuarial standards.</w:t>
      </w:r>
    </w:p>
    <w:p w:rsidR="009A3AFE" w:rsidRDefault="009A3AFE" w:rsidP="009A3AFE">
      <w:pPr>
        <w:pStyle w:val="BodyTextIndent2"/>
        <w:tabs>
          <w:tab w:val="left" w:pos="851"/>
        </w:tabs>
        <w:spacing w:after="0"/>
        <w:ind w:left="851"/>
        <w:rPr>
          <w:szCs w:val="24"/>
        </w:rPr>
      </w:pPr>
    </w:p>
    <w:p w:rsidR="009A3AFE" w:rsidRDefault="009A3AFE" w:rsidP="009A3AFE">
      <w:pPr>
        <w:pStyle w:val="BodyTextIndent2"/>
        <w:tabs>
          <w:tab w:val="left" w:pos="851"/>
        </w:tabs>
        <w:spacing w:after="0"/>
        <w:ind w:left="851"/>
        <w:rPr>
          <w:szCs w:val="24"/>
        </w:rPr>
      </w:pPr>
      <w:r w:rsidRPr="00AD17B7">
        <w:rPr>
          <w:szCs w:val="24"/>
        </w:rPr>
        <w:t>As permitted under IAS 26 the fund has opted to disclose the actuarial present value of promised retirement benefits by way of a note to the net asset statement (Note 3</w:t>
      </w:r>
      <w:r>
        <w:rPr>
          <w:szCs w:val="24"/>
        </w:rPr>
        <w:t>1</w:t>
      </w:r>
      <w:r w:rsidRPr="00AD17B7">
        <w:rPr>
          <w:szCs w:val="24"/>
        </w:rPr>
        <w:t>).</w:t>
      </w:r>
    </w:p>
    <w:p w:rsidR="00F332F8" w:rsidRDefault="00F332F8" w:rsidP="009A3AFE">
      <w:pPr>
        <w:pStyle w:val="BodyTextIndent2"/>
        <w:tabs>
          <w:tab w:val="left" w:pos="851"/>
        </w:tabs>
        <w:spacing w:after="0"/>
        <w:ind w:left="851"/>
        <w:rPr>
          <w:szCs w:val="24"/>
        </w:rPr>
      </w:pPr>
    </w:p>
    <w:p w:rsidR="00F332F8" w:rsidRDefault="00F332F8" w:rsidP="009A3AFE">
      <w:pPr>
        <w:pStyle w:val="BodyTextIndent2"/>
        <w:tabs>
          <w:tab w:val="left" w:pos="851"/>
        </w:tabs>
        <w:spacing w:after="0"/>
        <w:ind w:left="851"/>
        <w:rPr>
          <w:szCs w:val="24"/>
        </w:rPr>
      </w:pPr>
    </w:p>
    <w:p w:rsidR="00F332F8" w:rsidRDefault="00F332F8" w:rsidP="009A3AFE">
      <w:pPr>
        <w:pStyle w:val="BodyTextIndent2"/>
        <w:tabs>
          <w:tab w:val="left" w:pos="851"/>
        </w:tabs>
        <w:spacing w:after="0"/>
        <w:ind w:left="851"/>
        <w:rPr>
          <w:szCs w:val="24"/>
        </w:rPr>
      </w:pPr>
    </w:p>
    <w:p w:rsidR="00F332F8" w:rsidRDefault="00F332F8" w:rsidP="009A3AFE">
      <w:pPr>
        <w:pStyle w:val="BodyTextIndent2"/>
        <w:tabs>
          <w:tab w:val="left" w:pos="851"/>
        </w:tabs>
        <w:spacing w:after="0"/>
        <w:ind w:left="851"/>
        <w:rPr>
          <w:szCs w:val="24"/>
        </w:rPr>
      </w:pPr>
    </w:p>
    <w:p w:rsidR="009A3AFE" w:rsidRPr="00B853EB" w:rsidRDefault="009A3AFE" w:rsidP="009A3AFE">
      <w:pPr>
        <w:pStyle w:val="BodyTextIndent2"/>
        <w:tabs>
          <w:tab w:val="left" w:pos="851"/>
        </w:tabs>
        <w:spacing w:after="0"/>
        <w:ind w:left="851"/>
        <w:rPr>
          <w:szCs w:val="24"/>
        </w:rPr>
      </w:pPr>
    </w:p>
    <w:p w:rsidR="009A3AFE" w:rsidRDefault="009A3AFE" w:rsidP="009A3AFE">
      <w:pPr>
        <w:numPr>
          <w:ilvl w:val="0"/>
          <w:numId w:val="4"/>
        </w:numPr>
        <w:tabs>
          <w:tab w:val="clear" w:pos="825"/>
          <w:tab w:val="num" w:pos="851"/>
        </w:tabs>
        <w:ind w:left="1113" w:hanging="546"/>
        <w:rPr>
          <w:b/>
          <w:szCs w:val="24"/>
        </w:rPr>
      </w:pPr>
      <w:r>
        <w:rPr>
          <w:b/>
          <w:szCs w:val="24"/>
        </w:rPr>
        <w:t>Additional voluntary contributions</w:t>
      </w:r>
    </w:p>
    <w:p w:rsidR="009A3AFE" w:rsidRPr="00B853EB" w:rsidRDefault="009A3AFE" w:rsidP="009A3AFE">
      <w:pPr>
        <w:ind w:left="1113"/>
        <w:rPr>
          <w:b/>
          <w:szCs w:val="24"/>
        </w:rPr>
      </w:pPr>
    </w:p>
    <w:p w:rsidR="009A3AFE" w:rsidRDefault="009A3AFE" w:rsidP="009A3AFE">
      <w:pPr>
        <w:pStyle w:val="BodyTextIndent2"/>
        <w:tabs>
          <w:tab w:val="left" w:pos="851"/>
        </w:tabs>
        <w:spacing w:after="0"/>
        <w:ind w:left="851"/>
        <w:rPr>
          <w:szCs w:val="24"/>
        </w:rPr>
      </w:pPr>
      <w:r w:rsidRPr="00166665">
        <w:rPr>
          <w:szCs w:val="24"/>
        </w:rPr>
        <w:t xml:space="preserve">The </w:t>
      </w:r>
      <w:smartTag w:uri="urn:schemas-microsoft-com:office:smarttags" w:element="stockticker">
        <w:r w:rsidRPr="00166665">
          <w:rPr>
            <w:szCs w:val="24"/>
          </w:rPr>
          <w:t>AVC</w:t>
        </w:r>
      </w:smartTag>
      <w:r w:rsidRPr="00166665">
        <w:rPr>
          <w:szCs w:val="24"/>
        </w:rPr>
        <w:t xml:space="preserve"> providers to the Pension Fund are Equitable Life and Prudential.  The </w:t>
      </w:r>
      <w:smartTag w:uri="urn:schemas-microsoft-com:office:smarttags" w:element="stockticker">
        <w:r w:rsidRPr="00166665">
          <w:rPr>
            <w:szCs w:val="24"/>
          </w:rPr>
          <w:t>AVC</w:t>
        </w:r>
      </w:smartTag>
      <w:r w:rsidRPr="00166665">
        <w:rPr>
          <w:szCs w:val="24"/>
        </w:rPr>
        <w:t xml:space="preserve">’s are invested separately from the Pension Fund’s main assets and used to acquire additional money purchase benefits.  These are not included in the Pension Fund accounts in accordance with regulation 5(2) (C) of the Local Government Pension Scheme (Management and Investment of Funds) Regulations 1998 (SI 1998 No 1831). Members participating in these </w:t>
      </w:r>
      <w:smartTag w:uri="urn:schemas-microsoft-com:office:smarttags" w:element="stockticker">
        <w:r w:rsidRPr="00166665">
          <w:rPr>
            <w:szCs w:val="24"/>
          </w:rPr>
          <w:t>AVC</w:t>
        </w:r>
      </w:smartTag>
      <w:r w:rsidRPr="00166665">
        <w:rPr>
          <w:szCs w:val="24"/>
        </w:rPr>
        <w:t xml:space="preserve"> arrangements each receive an annual statement confirming the amounts held in their account and the movements during the year.   A summary of the information provided by Equitable Life and Prude</w:t>
      </w:r>
      <w:r>
        <w:rPr>
          <w:szCs w:val="24"/>
        </w:rPr>
        <w:t>ntial is shown in n</w:t>
      </w:r>
      <w:r w:rsidRPr="00433269">
        <w:rPr>
          <w:szCs w:val="24"/>
        </w:rPr>
        <w:t xml:space="preserve">ote </w:t>
      </w:r>
      <w:r>
        <w:rPr>
          <w:szCs w:val="24"/>
        </w:rPr>
        <w:t>20.</w:t>
      </w:r>
    </w:p>
    <w:p w:rsidR="00A320D0" w:rsidRDefault="00A320D0" w:rsidP="009A3AFE">
      <w:pPr>
        <w:pStyle w:val="BodyTextIndent2"/>
        <w:tabs>
          <w:tab w:val="left" w:pos="851"/>
        </w:tabs>
        <w:spacing w:after="0"/>
        <w:ind w:left="851"/>
        <w:rPr>
          <w:szCs w:val="24"/>
        </w:rPr>
      </w:pPr>
    </w:p>
    <w:p w:rsidR="00A320D0" w:rsidRDefault="00A320D0" w:rsidP="00A320D0">
      <w:pPr>
        <w:ind w:firstLine="851"/>
        <w:rPr>
          <w:b/>
        </w:rPr>
      </w:pPr>
      <w:r w:rsidRPr="009B45C4">
        <w:rPr>
          <w:b/>
        </w:rPr>
        <w:t>Securities Lending</w:t>
      </w:r>
    </w:p>
    <w:p w:rsidR="00A320D0" w:rsidRDefault="00A320D0" w:rsidP="00A320D0">
      <w:pPr>
        <w:ind w:firstLine="851"/>
        <w:rPr>
          <w:b/>
        </w:rPr>
      </w:pPr>
    </w:p>
    <w:p w:rsidR="00A320D0" w:rsidRDefault="00A320D0" w:rsidP="00A320D0">
      <w:pPr>
        <w:ind w:left="851"/>
      </w:pPr>
      <w:r>
        <w:t>Investments lent under securities lending arrangements continue to be recognised in the net asset statement to reflect the scheme's continuing economic interest in the securities and are measured in accordance with the accounting policy for assets 'At fair value through income statement' or 'Available for sale' as appropriate.</w:t>
      </w:r>
    </w:p>
    <w:p w:rsidR="00A320D0" w:rsidRDefault="00A320D0" w:rsidP="00A320D0">
      <w:pPr>
        <w:ind w:left="851"/>
      </w:pPr>
      <w:r w:rsidRPr="00B6433E">
        <w:rPr>
          <w:szCs w:val="24"/>
        </w:rPr>
        <w:t>Collateral is marked to market, and adjusted daily. As the Fund has no obligation to return the collateral to the borrowers, collateral is excluded from the Fund valuation</w:t>
      </w:r>
    </w:p>
    <w:p w:rsidR="00A320D0" w:rsidRDefault="00A320D0" w:rsidP="00A320D0"/>
    <w:p w:rsidR="00A320D0" w:rsidRDefault="00A320D0" w:rsidP="00A320D0">
      <w:pPr>
        <w:pStyle w:val="NormalWeb"/>
        <w:ind w:left="851"/>
        <w:rPr>
          <w:rFonts w:ascii="Arial" w:eastAsiaTheme="minorHAnsi" w:hAnsi="Arial" w:cstheme="minorBidi"/>
          <w:b/>
          <w:bCs/>
          <w:szCs w:val="22"/>
          <w:lang w:eastAsia="en-US"/>
        </w:rPr>
      </w:pPr>
      <w:r w:rsidRPr="00EE30FE">
        <w:rPr>
          <w:rFonts w:ascii="Arial" w:eastAsiaTheme="minorHAnsi" w:hAnsi="Arial" w:cstheme="minorBidi"/>
          <w:b/>
          <w:bCs/>
          <w:szCs w:val="22"/>
          <w:lang w:eastAsia="en-US"/>
        </w:rPr>
        <w:t>Contingent liabilities and contingent assets   </w:t>
      </w:r>
    </w:p>
    <w:p w:rsidR="00A320D0" w:rsidRPr="00EE30FE" w:rsidRDefault="00A320D0" w:rsidP="00A320D0">
      <w:pPr>
        <w:pStyle w:val="NormalWeb"/>
        <w:ind w:left="851"/>
        <w:jc w:val="both"/>
        <w:rPr>
          <w:rFonts w:ascii="Arial" w:eastAsiaTheme="minorHAnsi" w:hAnsi="Arial" w:cstheme="minorBidi"/>
          <w:szCs w:val="22"/>
          <w:lang w:eastAsia="en-US"/>
        </w:rPr>
      </w:pPr>
      <w:r w:rsidRPr="00EE30FE">
        <w:rPr>
          <w:rFonts w:ascii="Arial" w:eastAsiaTheme="minorHAnsi" w:hAnsi="Arial" w:cstheme="minorBidi"/>
          <w:szCs w:val="22"/>
          <w:lang w:eastAsia="en-US"/>
        </w:rPr>
        <w:t xml:space="preserve">A contingent liability is a possible obligation that arises from past events whose existence will be confirmed by the occurrence or non-occurrence of one or more uncertain future events beyond the control of the </w:t>
      </w:r>
      <w:r>
        <w:rPr>
          <w:rFonts w:ascii="Arial" w:eastAsiaTheme="minorHAnsi" w:hAnsi="Arial" w:cstheme="minorBidi"/>
          <w:szCs w:val="22"/>
          <w:lang w:eastAsia="en-US"/>
        </w:rPr>
        <w:t>Fund</w:t>
      </w:r>
      <w:r w:rsidRPr="00EE30FE">
        <w:rPr>
          <w:rFonts w:ascii="Arial" w:eastAsiaTheme="minorHAnsi" w:hAnsi="Arial" w:cstheme="minorBidi"/>
          <w:szCs w:val="22"/>
          <w:lang w:eastAsia="en-US"/>
        </w:rPr>
        <w:t xml:space="preserve"> or a present obligation that is not recognised because it is not probable that an outflow of resources will be required to settle the obligation. A contingent liability also arises in extremely rare cases where there is a liability that cannot be recognised because it cannot be measured reliably. The </w:t>
      </w:r>
      <w:r>
        <w:rPr>
          <w:rFonts w:ascii="Arial" w:eastAsiaTheme="minorHAnsi" w:hAnsi="Arial" w:cstheme="minorBidi"/>
          <w:szCs w:val="22"/>
          <w:lang w:eastAsia="en-US"/>
        </w:rPr>
        <w:t>Fund</w:t>
      </w:r>
      <w:r w:rsidRPr="00EE30FE">
        <w:rPr>
          <w:rFonts w:ascii="Arial" w:eastAsiaTheme="minorHAnsi" w:hAnsi="Arial" w:cstheme="minorBidi"/>
          <w:szCs w:val="22"/>
          <w:lang w:eastAsia="en-US"/>
        </w:rPr>
        <w:t xml:space="preserve"> does not recognise a contingent liability but discloses its existence in the financial statements.</w:t>
      </w:r>
    </w:p>
    <w:p w:rsidR="00A320D0" w:rsidRPr="00B853EB" w:rsidRDefault="00A320D0" w:rsidP="00A320D0">
      <w:pPr>
        <w:pStyle w:val="BodyTextIndent2"/>
        <w:tabs>
          <w:tab w:val="left" w:pos="851"/>
        </w:tabs>
        <w:spacing w:after="0"/>
        <w:ind w:left="851"/>
        <w:rPr>
          <w:szCs w:val="24"/>
        </w:rPr>
      </w:pPr>
      <w:r w:rsidRPr="00EE30FE">
        <w:rPr>
          <w:rFonts w:eastAsiaTheme="minorHAnsi" w:cstheme="minorBidi"/>
          <w:szCs w:val="22"/>
          <w:lang w:eastAsia="en-US"/>
        </w:rPr>
        <w:t xml:space="preserve">A contingent asset is a possible asset that arises from past events whose existence will be confirmed by the occurrence or non-occurrence of one or more uncertain future events beyond the control of the </w:t>
      </w:r>
      <w:r>
        <w:rPr>
          <w:rFonts w:eastAsiaTheme="minorHAnsi" w:cstheme="minorBidi"/>
          <w:szCs w:val="22"/>
          <w:lang w:eastAsia="en-US"/>
        </w:rPr>
        <w:t>Fund</w:t>
      </w:r>
      <w:r w:rsidRPr="00EE30FE">
        <w:rPr>
          <w:rFonts w:eastAsiaTheme="minorHAnsi" w:cstheme="minorBidi"/>
          <w:szCs w:val="22"/>
          <w:lang w:eastAsia="en-US"/>
        </w:rPr>
        <w:t xml:space="preserve">. The </w:t>
      </w:r>
      <w:r>
        <w:rPr>
          <w:rFonts w:eastAsiaTheme="minorHAnsi" w:cstheme="minorBidi"/>
          <w:szCs w:val="22"/>
          <w:lang w:eastAsia="en-US"/>
        </w:rPr>
        <w:t>Fund</w:t>
      </w:r>
      <w:r w:rsidRPr="00EE30FE">
        <w:rPr>
          <w:rFonts w:eastAsiaTheme="minorHAnsi" w:cstheme="minorBidi"/>
          <w:szCs w:val="22"/>
          <w:lang w:eastAsia="en-US"/>
        </w:rPr>
        <w:t xml:space="preserve"> does not recognise contingent assets but discloses its existence where inflows of economic benefits are probable, but not virtually certain</w:t>
      </w:r>
    </w:p>
    <w:p w:rsidR="009A3AFE" w:rsidRDefault="009A3AFE" w:rsidP="009A3AFE">
      <w:pPr>
        <w:pStyle w:val="BodyTextIndent2"/>
        <w:tabs>
          <w:tab w:val="left" w:pos="851"/>
        </w:tabs>
        <w:spacing w:after="0"/>
        <w:ind w:left="0"/>
        <w:rPr>
          <w:szCs w:val="24"/>
        </w:rPr>
      </w:pPr>
    </w:p>
    <w:p w:rsidR="009A3AFE" w:rsidRPr="00B853EB" w:rsidRDefault="009A3AFE" w:rsidP="009A3AFE">
      <w:pPr>
        <w:pStyle w:val="BodyTextIndent2"/>
        <w:numPr>
          <w:ilvl w:val="0"/>
          <w:numId w:val="2"/>
        </w:numPr>
        <w:tabs>
          <w:tab w:val="clear" w:pos="720"/>
          <w:tab w:val="num" w:pos="567"/>
        </w:tabs>
        <w:spacing w:after="0"/>
        <w:ind w:left="567" w:hanging="567"/>
        <w:rPr>
          <w:b/>
          <w:szCs w:val="24"/>
        </w:rPr>
      </w:pPr>
      <w:r w:rsidRPr="00B853EB">
        <w:rPr>
          <w:b/>
          <w:szCs w:val="24"/>
        </w:rPr>
        <w:t>Critical Judgements in applying accounting policies</w:t>
      </w:r>
    </w:p>
    <w:p w:rsidR="009A3AFE" w:rsidRDefault="009A3AFE" w:rsidP="009A3AFE">
      <w:pPr>
        <w:pStyle w:val="BodyTextIndent2"/>
        <w:tabs>
          <w:tab w:val="left" w:pos="851"/>
        </w:tabs>
        <w:spacing w:after="0"/>
        <w:rPr>
          <w:szCs w:val="24"/>
        </w:rPr>
      </w:pPr>
    </w:p>
    <w:p w:rsidR="009A3AFE" w:rsidRDefault="009A3AFE" w:rsidP="009A3AFE">
      <w:pPr>
        <w:tabs>
          <w:tab w:val="left" w:pos="567"/>
        </w:tabs>
        <w:ind w:left="567"/>
        <w:rPr>
          <w:b/>
          <w:szCs w:val="24"/>
        </w:rPr>
      </w:pPr>
      <w:r>
        <w:rPr>
          <w:b/>
          <w:szCs w:val="24"/>
        </w:rPr>
        <w:t>Unquoted private equity investments</w:t>
      </w:r>
    </w:p>
    <w:p w:rsidR="009A3AFE" w:rsidRDefault="009A3AFE" w:rsidP="009A3AFE">
      <w:pPr>
        <w:tabs>
          <w:tab w:val="left" w:pos="567"/>
        </w:tabs>
        <w:ind w:left="567"/>
        <w:rPr>
          <w:b/>
          <w:szCs w:val="24"/>
        </w:rPr>
      </w:pPr>
    </w:p>
    <w:p w:rsidR="009A3AFE" w:rsidRPr="00B853EB" w:rsidRDefault="009A3AFE" w:rsidP="009A3AFE">
      <w:pPr>
        <w:tabs>
          <w:tab w:val="left" w:pos="567"/>
        </w:tabs>
        <w:ind w:left="567"/>
        <w:rPr>
          <w:szCs w:val="24"/>
        </w:rPr>
      </w:pPr>
      <w:r>
        <w:rPr>
          <w:szCs w:val="24"/>
        </w:rPr>
        <w:t xml:space="preserve">It is important to recognise the highly subjective nature of determining the fair value of private equity investments. They are inherently based on forward-looking estimates and judgements involving many factors.  Unquoted private equities are valued by the investment managers using guidelines set out by the British Venture Capital Association.  The value of unquoted private equities at 31 March 2012 was </w:t>
      </w:r>
      <w:r w:rsidRPr="00E17E21">
        <w:rPr>
          <w:szCs w:val="24"/>
        </w:rPr>
        <w:t>£287.</w:t>
      </w:r>
      <w:r>
        <w:rPr>
          <w:szCs w:val="24"/>
        </w:rPr>
        <w:t>5</w:t>
      </w:r>
      <w:r w:rsidRPr="00E17E21">
        <w:rPr>
          <w:szCs w:val="24"/>
        </w:rPr>
        <w:t xml:space="preserve"> million (£</w:t>
      </w:r>
      <w:r>
        <w:rPr>
          <w:szCs w:val="24"/>
        </w:rPr>
        <w:t>201.8</w:t>
      </w:r>
      <w:r w:rsidRPr="00E17E21">
        <w:rPr>
          <w:szCs w:val="24"/>
        </w:rPr>
        <w:t xml:space="preserve"> million at 31 March 2011).</w:t>
      </w:r>
    </w:p>
    <w:p w:rsidR="009A3AFE" w:rsidRDefault="009A3AFE" w:rsidP="009A3AFE">
      <w:pPr>
        <w:pStyle w:val="BodyTextIndent2"/>
        <w:tabs>
          <w:tab w:val="left" w:pos="567"/>
        </w:tabs>
        <w:spacing w:after="0"/>
        <w:ind w:left="567"/>
        <w:rPr>
          <w:szCs w:val="24"/>
        </w:rPr>
      </w:pPr>
    </w:p>
    <w:p w:rsidR="009A3AFE" w:rsidRDefault="009A3AFE" w:rsidP="009A3AFE">
      <w:pPr>
        <w:tabs>
          <w:tab w:val="left" w:pos="567"/>
        </w:tabs>
        <w:ind w:left="567"/>
        <w:rPr>
          <w:b/>
          <w:szCs w:val="24"/>
        </w:rPr>
      </w:pPr>
      <w:r>
        <w:rPr>
          <w:b/>
          <w:szCs w:val="24"/>
        </w:rPr>
        <w:lastRenderedPageBreak/>
        <w:t>Pension Fund Liability</w:t>
      </w:r>
    </w:p>
    <w:p w:rsidR="009A3AFE" w:rsidRDefault="009A3AFE" w:rsidP="009A3AFE">
      <w:pPr>
        <w:tabs>
          <w:tab w:val="left" w:pos="567"/>
        </w:tabs>
        <w:ind w:left="567"/>
        <w:rPr>
          <w:b/>
          <w:szCs w:val="24"/>
        </w:rPr>
      </w:pPr>
    </w:p>
    <w:p w:rsidR="009A3AFE" w:rsidRPr="00C44323" w:rsidRDefault="009A3AFE" w:rsidP="009A3AFE">
      <w:pPr>
        <w:tabs>
          <w:tab w:val="left" w:pos="567"/>
        </w:tabs>
        <w:ind w:left="567"/>
        <w:rPr>
          <w:szCs w:val="24"/>
        </w:rPr>
      </w:pPr>
      <w:r>
        <w:rPr>
          <w:szCs w:val="24"/>
        </w:rPr>
        <w:t xml:space="preserve">The pension fund liability is calculated every three years by an appointed actuary, with annual updates in intervening years.  The methodology used is in line with accepted guidelines and in accordance with IAS 19.  Assumptions underpinning the valuations are agreed with actuary and are summarised in </w:t>
      </w:r>
      <w:r w:rsidRPr="00433269">
        <w:rPr>
          <w:szCs w:val="24"/>
        </w:rPr>
        <w:t xml:space="preserve">note </w:t>
      </w:r>
      <w:r>
        <w:rPr>
          <w:szCs w:val="24"/>
        </w:rPr>
        <w:t>31. This estimate is subject to significant variances based on change to the underlying assumptions.</w:t>
      </w:r>
    </w:p>
    <w:p w:rsidR="009A3AFE" w:rsidRDefault="009A3AFE" w:rsidP="009A3AFE">
      <w:pPr>
        <w:pStyle w:val="BodyTextIndent2"/>
        <w:tabs>
          <w:tab w:val="left" w:pos="851"/>
        </w:tabs>
        <w:spacing w:after="0"/>
        <w:ind w:left="0"/>
        <w:rPr>
          <w:szCs w:val="24"/>
        </w:rPr>
      </w:pPr>
    </w:p>
    <w:p w:rsidR="009A3AFE" w:rsidRPr="00636AC9" w:rsidRDefault="009A3AFE" w:rsidP="009A3AFE">
      <w:pPr>
        <w:pStyle w:val="BodyTextIndent"/>
        <w:numPr>
          <w:ilvl w:val="0"/>
          <w:numId w:val="2"/>
        </w:numPr>
        <w:tabs>
          <w:tab w:val="clear" w:pos="720"/>
          <w:tab w:val="clear" w:pos="1080"/>
          <w:tab w:val="num" w:pos="567"/>
        </w:tabs>
        <w:spacing w:after="0"/>
        <w:ind w:left="567" w:hanging="567"/>
        <w:rPr>
          <w:b/>
          <w:szCs w:val="24"/>
        </w:rPr>
      </w:pPr>
      <w:r w:rsidRPr="00D37FEA">
        <w:rPr>
          <w:b/>
          <w:szCs w:val="24"/>
        </w:rPr>
        <w:t xml:space="preserve">Assumptions </w:t>
      </w:r>
      <w:r w:rsidRPr="00D37FEA">
        <w:rPr>
          <w:b/>
        </w:rPr>
        <w:t>made about the future and other major sources of estimated uncertainty</w:t>
      </w:r>
    </w:p>
    <w:p w:rsidR="009A3AFE" w:rsidRPr="00D37FEA" w:rsidRDefault="009A3AFE" w:rsidP="009A3AFE">
      <w:pPr>
        <w:pStyle w:val="BodyTextIndent"/>
        <w:tabs>
          <w:tab w:val="clear" w:pos="1080"/>
        </w:tabs>
        <w:spacing w:after="0"/>
        <w:ind w:left="709"/>
        <w:rPr>
          <w:b/>
          <w:szCs w:val="24"/>
        </w:rPr>
      </w:pPr>
    </w:p>
    <w:p w:rsidR="009A3AFE" w:rsidRDefault="009A3AFE" w:rsidP="009A3AFE">
      <w:pPr>
        <w:pStyle w:val="BodyTextIndent2"/>
        <w:tabs>
          <w:tab w:val="left" w:pos="709"/>
        </w:tabs>
        <w:spacing w:after="0"/>
        <w:ind w:left="567"/>
        <w:rPr>
          <w:szCs w:val="24"/>
        </w:rPr>
      </w:pPr>
      <w:r>
        <w:rPr>
          <w:szCs w:val="24"/>
        </w:rPr>
        <w:t xml:space="preserve">The Statement of Accounts </w:t>
      </w:r>
      <w:r w:rsidRPr="00D37FEA">
        <w:rPr>
          <w:szCs w:val="24"/>
        </w:rPr>
        <w:t>contain estimated figures that are based on</w:t>
      </w:r>
      <w:r>
        <w:rPr>
          <w:szCs w:val="24"/>
        </w:rPr>
        <w:t xml:space="preserve"> assumptions made by</w:t>
      </w:r>
      <w:r w:rsidRPr="00D37FEA">
        <w:rPr>
          <w:szCs w:val="24"/>
        </w:rPr>
        <w:t xml:space="preserve"> the Pension Fund about the future or that are otherwise uncertain.  Estimates are made taking into account historical experience, current trends and other relevant factors.  However, because balances cannot be determined with certainty, actual results could be materially different from the assumptions and estimates.</w:t>
      </w:r>
    </w:p>
    <w:p w:rsidR="009A3AFE" w:rsidRPr="00D37FEA" w:rsidRDefault="009A3AFE" w:rsidP="009A3AFE">
      <w:pPr>
        <w:pStyle w:val="BodyTextIndent2"/>
        <w:tabs>
          <w:tab w:val="left" w:pos="851"/>
        </w:tabs>
        <w:spacing w:after="0"/>
        <w:ind w:left="0"/>
        <w:rPr>
          <w:szCs w:val="24"/>
        </w:rPr>
      </w:pPr>
    </w:p>
    <w:p w:rsidR="009A3AFE" w:rsidRPr="00D37FEA" w:rsidRDefault="009A3AFE" w:rsidP="009A3AFE">
      <w:pPr>
        <w:pStyle w:val="BodyTextIndent2"/>
        <w:tabs>
          <w:tab w:val="left" w:pos="851"/>
        </w:tabs>
        <w:spacing w:after="0"/>
        <w:ind w:left="567"/>
        <w:rPr>
          <w:szCs w:val="24"/>
        </w:rPr>
      </w:pPr>
      <w:r w:rsidRPr="00D37FEA">
        <w:rPr>
          <w:szCs w:val="24"/>
        </w:rPr>
        <w:t>The items in the Pension Fund's net asset statement at 31 March 201</w:t>
      </w:r>
      <w:r>
        <w:rPr>
          <w:szCs w:val="24"/>
        </w:rPr>
        <w:t>2</w:t>
      </w:r>
      <w:r w:rsidRPr="00D37FEA">
        <w:rPr>
          <w:szCs w:val="24"/>
        </w:rPr>
        <w:t xml:space="preserve"> for which there is a significant risk of material adjustment in the forthcoming year are as follows:</w:t>
      </w:r>
    </w:p>
    <w:p w:rsidR="009A3AFE" w:rsidRDefault="009A3AFE" w:rsidP="009A3AFE"/>
    <w:p w:rsidR="009A3AFE" w:rsidRDefault="009A3AFE" w:rsidP="009A3AFE"/>
    <w:tbl>
      <w:tblPr>
        <w:tblW w:w="0" w:type="auto"/>
        <w:tblInd w:w="1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9"/>
        <w:gridCol w:w="3827"/>
        <w:gridCol w:w="3751"/>
      </w:tblGrid>
      <w:tr w:rsidR="009A3AFE" w:rsidTr="009A3AFE">
        <w:tc>
          <w:tcPr>
            <w:tcW w:w="0" w:type="auto"/>
          </w:tcPr>
          <w:p w:rsidR="009A3AFE" w:rsidRPr="00834B94" w:rsidRDefault="009A3AFE" w:rsidP="009A3AFE">
            <w:pPr>
              <w:rPr>
                <w:sz w:val="22"/>
                <w:szCs w:val="22"/>
              </w:rPr>
            </w:pPr>
            <w:r w:rsidRPr="00834B94">
              <w:rPr>
                <w:sz w:val="22"/>
                <w:szCs w:val="22"/>
              </w:rPr>
              <w:t>Item</w:t>
            </w:r>
          </w:p>
        </w:tc>
        <w:tc>
          <w:tcPr>
            <w:tcW w:w="0" w:type="auto"/>
          </w:tcPr>
          <w:p w:rsidR="009A3AFE" w:rsidRPr="00834B94" w:rsidRDefault="009A3AFE" w:rsidP="009A3AFE">
            <w:pPr>
              <w:rPr>
                <w:sz w:val="22"/>
                <w:szCs w:val="22"/>
              </w:rPr>
            </w:pPr>
            <w:r w:rsidRPr="00834B94">
              <w:rPr>
                <w:sz w:val="22"/>
                <w:szCs w:val="22"/>
              </w:rPr>
              <w:t>Uncertainties</w:t>
            </w:r>
          </w:p>
        </w:tc>
        <w:tc>
          <w:tcPr>
            <w:tcW w:w="0" w:type="auto"/>
          </w:tcPr>
          <w:p w:rsidR="009A3AFE" w:rsidRPr="00834B94" w:rsidRDefault="009A3AFE" w:rsidP="009A3AFE">
            <w:pPr>
              <w:rPr>
                <w:sz w:val="22"/>
                <w:szCs w:val="22"/>
              </w:rPr>
            </w:pPr>
            <w:r w:rsidRPr="00834B94">
              <w:rPr>
                <w:sz w:val="22"/>
                <w:szCs w:val="22"/>
              </w:rPr>
              <w:t>Impact if actual results differ from assumptions</w:t>
            </w:r>
          </w:p>
        </w:tc>
      </w:tr>
      <w:tr w:rsidR="009A3AFE" w:rsidTr="009A3AFE">
        <w:tc>
          <w:tcPr>
            <w:tcW w:w="0" w:type="auto"/>
          </w:tcPr>
          <w:p w:rsidR="009A3AFE" w:rsidRPr="00834B94" w:rsidRDefault="009A3AFE" w:rsidP="009A3AFE">
            <w:pPr>
              <w:rPr>
                <w:sz w:val="22"/>
                <w:szCs w:val="22"/>
              </w:rPr>
            </w:pPr>
            <w:r w:rsidRPr="00834B94">
              <w:rPr>
                <w:sz w:val="22"/>
                <w:szCs w:val="22"/>
              </w:rPr>
              <w:t>Private Equity</w:t>
            </w:r>
          </w:p>
        </w:tc>
        <w:tc>
          <w:tcPr>
            <w:tcW w:w="0" w:type="auto"/>
          </w:tcPr>
          <w:p w:rsidR="009A3AFE" w:rsidRPr="00834B94" w:rsidRDefault="009A3AFE" w:rsidP="009A3AFE">
            <w:pPr>
              <w:rPr>
                <w:sz w:val="22"/>
                <w:szCs w:val="22"/>
              </w:rPr>
            </w:pPr>
            <w:r w:rsidRPr="00834B94">
              <w:rPr>
                <w:sz w:val="22"/>
                <w:szCs w:val="22"/>
              </w:rPr>
              <w:t>Private Equity investments are valued at fair value in accordance with BVCA guidelines.  These investments are not publicly listed and as such there is a degree of estimation involved in the valuation.</w:t>
            </w:r>
          </w:p>
        </w:tc>
        <w:tc>
          <w:tcPr>
            <w:tcW w:w="0" w:type="auto"/>
          </w:tcPr>
          <w:p w:rsidR="009A3AFE" w:rsidRPr="00834B94" w:rsidRDefault="009A3AFE" w:rsidP="009A3AFE">
            <w:pPr>
              <w:rPr>
                <w:sz w:val="22"/>
                <w:szCs w:val="22"/>
              </w:rPr>
            </w:pPr>
            <w:r w:rsidRPr="009A36EC">
              <w:rPr>
                <w:sz w:val="22"/>
                <w:szCs w:val="22"/>
              </w:rPr>
              <w:t>The total Private Equity investments in the financial statements are £287.</w:t>
            </w:r>
            <w:r>
              <w:rPr>
                <w:sz w:val="22"/>
                <w:szCs w:val="22"/>
              </w:rPr>
              <w:t>5</w:t>
            </w:r>
            <w:r w:rsidRPr="009A36EC">
              <w:rPr>
                <w:sz w:val="22"/>
                <w:szCs w:val="22"/>
              </w:rPr>
              <w:t>m.  There is a risk that this investment may be under or overstated in the accounts.</w:t>
            </w:r>
          </w:p>
        </w:tc>
      </w:tr>
      <w:tr w:rsidR="009A3AFE" w:rsidTr="009A3AFE">
        <w:trPr>
          <w:trHeight w:val="3359"/>
        </w:trPr>
        <w:tc>
          <w:tcPr>
            <w:tcW w:w="0" w:type="auto"/>
          </w:tcPr>
          <w:p w:rsidR="009A3AFE" w:rsidRPr="00834B94" w:rsidRDefault="009A3AFE" w:rsidP="009A3AFE">
            <w:pPr>
              <w:pStyle w:val="Default"/>
              <w:rPr>
                <w:sz w:val="22"/>
                <w:szCs w:val="22"/>
              </w:rPr>
            </w:pPr>
            <w:r w:rsidRPr="00834B94">
              <w:rPr>
                <w:sz w:val="22"/>
                <w:szCs w:val="22"/>
              </w:rPr>
              <w:t>Pensions Liability</w:t>
            </w:r>
          </w:p>
        </w:tc>
        <w:tc>
          <w:tcPr>
            <w:tcW w:w="0" w:type="auto"/>
          </w:tcPr>
          <w:tbl>
            <w:tblPr>
              <w:tblW w:w="0" w:type="auto"/>
              <w:tblBorders>
                <w:top w:val="nil"/>
                <w:left w:val="nil"/>
                <w:bottom w:val="nil"/>
                <w:right w:val="nil"/>
              </w:tblBorders>
              <w:tblLook w:val="0000"/>
            </w:tblPr>
            <w:tblGrid>
              <w:gridCol w:w="3611"/>
            </w:tblGrid>
            <w:tr w:rsidR="009A3AFE" w:rsidRPr="00834B94" w:rsidTr="009A3AFE">
              <w:trPr>
                <w:trHeight w:val="3077"/>
              </w:trPr>
              <w:tc>
                <w:tcPr>
                  <w:tcW w:w="0" w:type="auto"/>
                </w:tcPr>
                <w:p w:rsidR="009A3AFE" w:rsidRPr="00834B94" w:rsidRDefault="009A3AFE" w:rsidP="009A3AFE">
                  <w:pPr>
                    <w:pStyle w:val="Default"/>
                    <w:rPr>
                      <w:sz w:val="22"/>
                      <w:szCs w:val="22"/>
                    </w:rPr>
                  </w:pPr>
                  <w:r w:rsidRPr="00834B94">
                    <w:rPr>
                      <w:sz w:val="22"/>
                      <w:szCs w:val="22"/>
                    </w:rPr>
                    <w:t>Estimation of the net liability to pay pensions depends on a number of complex judgements relating to the discount rate used, the rate at which salaries are projected to increase, changes in retirement ages, mortality rates and expected returns on pension fund assets. A firm of consulting actuaries (Mercers) is engaged to provide the authority with expert advice about the assumptions to be applied.</w:t>
                  </w:r>
                </w:p>
              </w:tc>
            </w:tr>
          </w:tbl>
          <w:p w:rsidR="009A3AFE" w:rsidRPr="00834B94" w:rsidRDefault="009A3AFE" w:rsidP="009A3AFE">
            <w:pPr>
              <w:jc w:val="center"/>
              <w:rPr>
                <w:sz w:val="22"/>
                <w:szCs w:val="22"/>
              </w:rPr>
            </w:pPr>
          </w:p>
        </w:tc>
        <w:tc>
          <w:tcPr>
            <w:tcW w:w="0" w:type="auto"/>
          </w:tcPr>
          <w:p w:rsidR="009A3AFE" w:rsidRPr="00834B94" w:rsidRDefault="009A3AFE" w:rsidP="009A3AFE">
            <w:pPr>
              <w:pStyle w:val="Default"/>
              <w:rPr>
                <w:sz w:val="22"/>
                <w:szCs w:val="22"/>
              </w:rPr>
            </w:pPr>
            <w:r w:rsidRPr="00756E2F">
              <w:rPr>
                <w:sz w:val="22"/>
                <w:szCs w:val="22"/>
              </w:rPr>
              <w:t xml:space="preserve">The effects on the net pension liability of changes in individual assumptions can be measured. For instance, a 0.5% increase in the discount rate assumption would reduce the value of the liabilities by approximately </w:t>
            </w:r>
            <w:r w:rsidRPr="00756E2F">
              <w:rPr>
                <w:color w:val="auto"/>
                <w:sz w:val="22"/>
                <w:szCs w:val="22"/>
              </w:rPr>
              <w:t>£580 million.</w:t>
            </w:r>
            <w:r w:rsidRPr="00756E2F">
              <w:rPr>
                <w:sz w:val="22"/>
                <w:szCs w:val="22"/>
              </w:rPr>
              <w:t xml:space="preserve">  A 0.25% increase in assumed earnings inflation would increase the value of the liabilities by approximately £90m and a 1 year increase in assumed life expectancy would increase the liabilities by approximately £130m.</w:t>
            </w:r>
          </w:p>
        </w:tc>
      </w:tr>
    </w:tbl>
    <w:p w:rsidR="009A3AFE" w:rsidRDefault="009A3AFE" w:rsidP="009A3AFE">
      <w:pPr>
        <w:rPr>
          <w:b/>
          <w:szCs w:val="24"/>
        </w:rPr>
      </w:pPr>
    </w:p>
    <w:p w:rsidR="009A3AFE" w:rsidRDefault="009A3AFE" w:rsidP="009A3AFE">
      <w:pPr>
        <w:rPr>
          <w:szCs w:val="24"/>
        </w:rPr>
      </w:pPr>
    </w:p>
    <w:p w:rsidR="009A3AFE" w:rsidRPr="00EB31B3" w:rsidRDefault="009A3AFE" w:rsidP="009A3AFE">
      <w:pPr>
        <w:rPr>
          <w:szCs w:val="24"/>
        </w:rPr>
      </w:pPr>
    </w:p>
    <w:p w:rsidR="009A3AFE" w:rsidRPr="00636AC9" w:rsidRDefault="009A3AFE" w:rsidP="009A3AFE">
      <w:pPr>
        <w:numPr>
          <w:ilvl w:val="0"/>
          <w:numId w:val="2"/>
        </w:numPr>
        <w:rPr>
          <w:szCs w:val="24"/>
        </w:rPr>
      </w:pPr>
      <w:r w:rsidRPr="00166665">
        <w:rPr>
          <w:b/>
          <w:szCs w:val="24"/>
        </w:rPr>
        <w:t>Contributions receivable</w:t>
      </w:r>
    </w:p>
    <w:p w:rsidR="009A3AFE" w:rsidRDefault="009A3AFE" w:rsidP="009A3AFE">
      <w:pPr>
        <w:rPr>
          <w:b/>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9A3AFE" w:rsidTr="009A3AFE">
        <w:tc>
          <w:tcPr>
            <w:tcW w:w="5058" w:type="dxa"/>
          </w:tcPr>
          <w:p w:rsidR="009A3AFE" w:rsidRDefault="009A3AFE" w:rsidP="009A3AFE">
            <w:pPr>
              <w:rPr>
                <w:b/>
                <w:szCs w:val="24"/>
              </w:rPr>
            </w:pPr>
          </w:p>
        </w:tc>
        <w:tc>
          <w:tcPr>
            <w:tcW w:w="1559" w:type="dxa"/>
          </w:tcPr>
          <w:p w:rsidR="009A3AFE" w:rsidRDefault="009A3AFE" w:rsidP="009A3AFE">
            <w:pPr>
              <w:jc w:val="right"/>
              <w:rPr>
                <w:b/>
                <w:szCs w:val="24"/>
              </w:rPr>
            </w:pPr>
            <w:r>
              <w:rPr>
                <w:b/>
                <w:szCs w:val="24"/>
              </w:rPr>
              <w:t>2011/12</w:t>
            </w:r>
          </w:p>
          <w:p w:rsidR="009A3AFE" w:rsidRDefault="009A3AFE" w:rsidP="009A3AFE">
            <w:pPr>
              <w:jc w:val="right"/>
              <w:rPr>
                <w:b/>
                <w:szCs w:val="24"/>
              </w:rPr>
            </w:pPr>
            <w:r>
              <w:rPr>
                <w:b/>
                <w:szCs w:val="24"/>
              </w:rPr>
              <w:t>£m</w:t>
            </w:r>
          </w:p>
        </w:tc>
        <w:tc>
          <w:tcPr>
            <w:tcW w:w="430" w:type="dxa"/>
            <w:tcBorders>
              <w:right w:val="single" w:sz="4" w:space="0" w:color="FFFFFF" w:themeColor="background1"/>
            </w:tcBorders>
          </w:tcPr>
          <w:p w:rsidR="009A3AFE" w:rsidRDefault="009A3AFE" w:rsidP="009A3AFE">
            <w:pPr>
              <w:jc w:val="right"/>
              <w:rPr>
                <w:b/>
                <w:szCs w:val="24"/>
              </w:rPr>
            </w:pPr>
          </w:p>
          <w:p w:rsidR="009A3AFE" w:rsidRDefault="009A3AFE" w:rsidP="009A3AFE">
            <w:pPr>
              <w:jc w:val="right"/>
              <w:rPr>
                <w:b/>
                <w:szCs w:val="24"/>
              </w:rPr>
            </w:pPr>
          </w:p>
        </w:tc>
        <w:tc>
          <w:tcPr>
            <w:tcW w:w="1696" w:type="dxa"/>
            <w:tcBorders>
              <w:left w:val="single" w:sz="4" w:space="0" w:color="FFFFFF" w:themeColor="background1"/>
            </w:tcBorders>
          </w:tcPr>
          <w:p w:rsidR="009A3AFE" w:rsidRDefault="009A3AFE" w:rsidP="009A3AFE">
            <w:pPr>
              <w:jc w:val="right"/>
              <w:rPr>
                <w:b/>
                <w:szCs w:val="24"/>
              </w:rPr>
            </w:pPr>
            <w:r>
              <w:rPr>
                <w:b/>
                <w:szCs w:val="24"/>
              </w:rPr>
              <w:t>2010/11</w:t>
            </w:r>
          </w:p>
          <w:p w:rsidR="009A3AFE" w:rsidRDefault="009A3AFE" w:rsidP="009A3AFE">
            <w:pPr>
              <w:jc w:val="right"/>
              <w:rPr>
                <w:b/>
                <w:szCs w:val="24"/>
              </w:rPr>
            </w:pPr>
            <w:r>
              <w:rPr>
                <w:b/>
                <w:szCs w:val="24"/>
              </w:rPr>
              <w:t>£m</w:t>
            </w:r>
          </w:p>
          <w:p w:rsidR="009A3AFE" w:rsidRDefault="009A3AFE" w:rsidP="009A3AFE">
            <w:pPr>
              <w:jc w:val="right"/>
              <w:rPr>
                <w:b/>
                <w:szCs w:val="24"/>
              </w:rPr>
            </w:pPr>
          </w:p>
        </w:tc>
      </w:tr>
      <w:tr w:rsidR="009A3AFE" w:rsidTr="009A3AFE">
        <w:tc>
          <w:tcPr>
            <w:tcW w:w="5058" w:type="dxa"/>
          </w:tcPr>
          <w:p w:rsidR="009A3AFE" w:rsidRDefault="009A3AFE" w:rsidP="009A3AFE">
            <w:pPr>
              <w:rPr>
                <w:b/>
                <w:szCs w:val="24"/>
              </w:rPr>
            </w:pPr>
            <w:r>
              <w:rPr>
                <w:b/>
                <w:szCs w:val="24"/>
              </w:rPr>
              <w:t>Employers' contributions</w:t>
            </w:r>
          </w:p>
        </w:tc>
        <w:tc>
          <w:tcPr>
            <w:tcW w:w="1559" w:type="dxa"/>
          </w:tcPr>
          <w:p w:rsidR="009A3AFE" w:rsidRPr="009643EB" w:rsidRDefault="009A3AFE" w:rsidP="009A3AFE">
            <w:pPr>
              <w:jc w:val="right"/>
              <w:rPr>
                <w:szCs w:val="24"/>
              </w:rPr>
            </w:pPr>
          </w:p>
        </w:tc>
        <w:tc>
          <w:tcPr>
            <w:tcW w:w="430" w:type="dxa"/>
            <w:tcBorders>
              <w:right w:val="single" w:sz="4" w:space="0" w:color="FFFFFF" w:themeColor="background1"/>
            </w:tcBorders>
          </w:tcPr>
          <w:p w:rsidR="009A3AFE" w:rsidRPr="009643EB" w:rsidRDefault="009A3AFE" w:rsidP="009A3AFE">
            <w:pPr>
              <w:jc w:val="right"/>
              <w:rPr>
                <w:szCs w:val="24"/>
              </w:rPr>
            </w:pPr>
          </w:p>
        </w:tc>
        <w:tc>
          <w:tcPr>
            <w:tcW w:w="1696" w:type="dxa"/>
            <w:tcBorders>
              <w:left w:val="single" w:sz="4" w:space="0" w:color="FFFFFF" w:themeColor="background1"/>
            </w:tcBorders>
          </w:tcPr>
          <w:p w:rsidR="009A3AFE" w:rsidRPr="009643EB" w:rsidRDefault="009A3AFE" w:rsidP="009A3AFE">
            <w:pPr>
              <w:jc w:val="right"/>
              <w:rPr>
                <w:szCs w:val="24"/>
              </w:rPr>
            </w:pPr>
          </w:p>
        </w:tc>
      </w:tr>
      <w:tr w:rsidR="009A3AFE" w:rsidTr="009A3AFE">
        <w:tc>
          <w:tcPr>
            <w:tcW w:w="5058" w:type="dxa"/>
          </w:tcPr>
          <w:p w:rsidR="009A3AFE" w:rsidRPr="009643EB" w:rsidRDefault="009A3AFE" w:rsidP="009A3AFE">
            <w:pPr>
              <w:rPr>
                <w:szCs w:val="24"/>
              </w:rPr>
            </w:pPr>
            <w:r>
              <w:rPr>
                <w:szCs w:val="24"/>
              </w:rPr>
              <w:lastRenderedPageBreak/>
              <w:t>County Council</w:t>
            </w:r>
          </w:p>
        </w:tc>
        <w:tc>
          <w:tcPr>
            <w:tcW w:w="1559" w:type="dxa"/>
          </w:tcPr>
          <w:p w:rsidR="009A3AFE" w:rsidRPr="009643EB" w:rsidRDefault="009A3AFE" w:rsidP="009A3AFE">
            <w:pPr>
              <w:jc w:val="right"/>
              <w:rPr>
                <w:szCs w:val="24"/>
              </w:rPr>
            </w:pPr>
            <w:r>
              <w:rPr>
                <w:szCs w:val="24"/>
              </w:rPr>
              <w:t>68.5</w:t>
            </w:r>
          </w:p>
        </w:tc>
        <w:tc>
          <w:tcPr>
            <w:tcW w:w="430" w:type="dxa"/>
            <w:tcBorders>
              <w:right w:val="single" w:sz="4" w:space="0" w:color="FFFFFF" w:themeColor="background1"/>
            </w:tcBorders>
          </w:tcPr>
          <w:p w:rsidR="009A3AFE" w:rsidRPr="009643EB" w:rsidRDefault="009A3AFE" w:rsidP="009A3AFE">
            <w:pPr>
              <w:jc w:val="right"/>
              <w:rPr>
                <w:szCs w:val="24"/>
              </w:rPr>
            </w:pPr>
          </w:p>
        </w:tc>
        <w:tc>
          <w:tcPr>
            <w:tcW w:w="1696" w:type="dxa"/>
            <w:tcBorders>
              <w:left w:val="single" w:sz="4" w:space="0" w:color="FFFFFF" w:themeColor="background1"/>
            </w:tcBorders>
          </w:tcPr>
          <w:p w:rsidR="009A3AFE" w:rsidRPr="009643EB" w:rsidRDefault="009A3AFE" w:rsidP="009A3AFE">
            <w:pPr>
              <w:jc w:val="right"/>
              <w:rPr>
                <w:szCs w:val="24"/>
              </w:rPr>
            </w:pPr>
            <w:r w:rsidRPr="009643EB">
              <w:rPr>
                <w:szCs w:val="24"/>
              </w:rPr>
              <w:t>7</w:t>
            </w:r>
            <w:r>
              <w:rPr>
                <w:szCs w:val="24"/>
              </w:rPr>
              <w:t>0.9</w:t>
            </w:r>
          </w:p>
        </w:tc>
      </w:tr>
      <w:tr w:rsidR="009A3AFE" w:rsidTr="009A3AFE">
        <w:tc>
          <w:tcPr>
            <w:tcW w:w="5058" w:type="dxa"/>
          </w:tcPr>
          <w:p w:rsidR="009A3AFE" w:rsidRDefault="009A3AFE" w:rsidP="009A3AFE">
            <w:pPr>
              <w:rPr>
                <w:szCs w:val="24"/>
              </w:rPr>
            </w:pPr>
            <w:r>
              <w:rPr>
                <w:szCs w:val="24"/>
              </w:rPr>
              <w:t>Scheduled Bodies</w:t>
            </w:r>
          </w:p>
        </w:tc>
        <w:tc>
          <w:tcPr>
            <w:tcW w:w="1559" w:type="dxa"/>
          </w:tcPr>
          <w:p w:rsidR="009A3AFE" w:rsidRPr="009643EB" w:rsidRDefault="009A3AFE" w:rsidP="009A3AFE">
            <w:pPr>
              <w:jc w:val="right"/>
              <w:rPr>
                <w:szCs w:val="24"/>
              </w:rPr>
            </w:pPr>
            <w:r>
              <w:rPr>
                <w:szCs w:val="24"/>
              </w:rPr>
              <w:t>75.7</w:t>
            </w:r>
          </w:p>
        </w:tc>
        <w:tc>
          <w:tcPr>
            <w:tcW w:w="430" w:type="dxa"/>
            <w:tcBorders>
              <w:right w:val="single" w:sz="4" w:space="0" w:color="FFFFFF" w:themeColor="background1"/>
            </w:tcBorders>
          </w:tcPr>
          <w:p w:rsidR="009A3AFE" w:rsidRPr="009643EB" w:rsidRDefault="009A3AFE" w:rsidP="009A3AFE">
            <w:pPr>
              <w:jc w:val="right"/>
              <w:rPr>
                <w:szCs w:val="24"/>
              </w:rPr>
            </w:pPr>
          </w:p>
        </w:tc>
        <w:tc>
          <w:tcPr>
            <w:tcW w:w="1696" w:type="dxa"/>
            <w:tcBorders>
              <w:left w:val="single" w:sz="4" w:space="0" w:color="FFFFFF" w:themeColor="background1"/>
            </w:tcBorders>
          </w:tcPr>
          <w:p w:rsidR="009A3AFE" w:rsidRPr="009643EB" w:rsidRDefault="009A3AFE" w:rsidP="009A3AFE">
            <w:pPr>
              <w:jc w:val="right"/>
              <w:rPr>
                <w:szCs w:val="24"/>
              </w:rPr>
            </w:pPr>
            <w:r>
              <w:rPr>
                <w:szCs w:val="24"/>
              </w:rPr>
              <w:t>85.6</w:t>
            </w:r>
          </w:p>
        </w:tc>
      </w:tr>
      <w:tr w:rsidR="009A3AFE" w:rsidTr="009A3AFE">
        <w:tc>
          <w:tcPr>
            <w:tcW w:w="5058" w:type="dxa"/>
          </w:tcPr>
          <w:p w:rsidR="009A3AFE" w:rsidRDefault="009A3AFE" w:rsidP="009A3AFE">
            <w:pPr>
              <w:rPr>
                <w:szCs w:val="24"/>
              </w:rPr>
            </w:pPr>
            <w:r>
              <w:rPr>
                <w:szCs w:val="24"/>
              </w:rPr>
              <w:t>Admitted</w:t>
            </w:r>
          </w:p>
        </w:tc>
        <w:tc>
          <w:tcPr>
            <w:tcW w:w="1559" w:type="dxa"/>
            <w:tcBorders>
              <w:bottom w:val="single" w:sz="18" w:space="0" w:color="auto"/>
            </w:tcBorders>
          </w:tcPr>
          <w:p w:rsidR="009A3AFE" w:rsidRPr="009643EB" w:rsidRDefault="009A3AFE" w:rsidP="009A3AFE">
            <w:pPr>
              <w:jc w:val="right"/>
              <w:rPr>
                <w:szCs w:val="24"/>
              </w:rPr>
            </w:pPr>
            <w:r>
              <w:rPr>
                <w:szCs w:val="24"/>
              </w:rPr>
              <w:t>12.9</w:t>
            </w:r>
          </w:p>
        </w:tc>
        <w:tc>
          <w:tcPr>
            <w:tcW w:w="430" w:type="dxa"/>
            <w:tcBorders>
              <w:right w:val="single" w:sz="4" w:space="0" w:color="FFFFFF" w:themeColor="background1"/>
            </w:tcBorders>
          </w:tcPr>
          <w:p w:rsidR="009A3AFE" w:rsidRDefault="009A3AFE" w:rsidP="009A3AFE">
            <w:pPr>
              <w:jc w:val="right"/>
              <w:rPr>
                <w:szCs w:val="24"/>
              </w:rPr>
            </w:pPr>
          </w:p>
        </w:tc>
        <w:tc>
          <w:tcPr>
            <w:tcW w:w="1696" w:type="dxa"/>
            <w:tcBorders>
              <w:left w:val="single" w:sz="4" w:space="0" w:color="FFFFFF" w:themeColor="background1"/>
              <w:bottom w:val="single" w:sz="18" w:space="0" w:color="auto"/>
            </w:tcBorders>
          </w:tcPr>
          <w:p w:rsidR="009A3AFE" w:rsidRDefault="009A3AFE" w:rsidP="009A3AFE">
            <w:pPr>
              <w:jc w:val="right"/>
              <w:rPr>
                <w:szCs w:val="24"/>
              </w:rPr>
            </w:pPr>
            <w:r>
              <w:rPr>
                <w:szCs w:val="24"/>
              </w:rPr>
              <w:t>14.3</w:t>
            </w:r>
          </w:p>
        </w:tc>
      </w:tr>
      <w:tr w:rsidR="009A3AFE" w:rsidTr="009A3AFE">
        <w:tc>
          <w:tcPr>
            <w:tcW w:w="5058" w:type="dxa"/>
          </w:tcPr>
          <w:p w:rsidR="009A3AFE" w:rsidRDefault="009A3AFE" w:rsidP="009A3AFE">
            <w:pPr>
              <w:rPr>
                <w:szCs w:val="24"/>
              </w:rPr>
            </w:pPr>
          </w:p>
        </w:tc>
        <w:tc>
          <w:tcPr>
            <w:tcW w:w="1559" w:type="dxa"/>
            <w:tcBorders>
              <w:top w:val="single" w:sz="18" w:space="0" w:color="auto"/>
            </w:tcBorders>
          </w:tcPr>
          <w:p w:rsidR="009A3AFE" w:rsidRPr="009643EB" w:rsidRDefault="009A3AFE" w:rsidP="009A3AFE">
            <w:pPr>
              <w:jc w:val="right"/>
              <w:rPr>
                <w:szCs w:val="24"/>
              </w:rPr>
            </w:pPr>
            <w:r>
              <w:rPr>
                <w:szCs w:val="24"/>
              </w:rPr>
              <w:t>157.1</w:t>
            </w:r>
          </w:p>
        </w:tc>
        <w:tc>
          <w:tcPr>
            <w:tcW w:w="430" w:type="dxa"/>
            <w:tcBorders>
              <w:right w:val="single" w:sz="4" w:space="0" w:color="FFFFFF" w:themeColor="background1"/>
            </w:tcBorders>
          </w:tcPr>
          <w:p w:rsidR="009A3AFE" w:rsidRDefault="009A3AFE" w:rsidP="009A3AFE">
            <w:pPr>
              <w:jc w:val="right"/>
              <w:rPr>
                <w:szCs w:val="24"/>
              </w:rPr>
            </w:pPr>
          </w:p>
        </w:tc>
        <w:tc>
          <w:tcPr>
            <w:tcW w:w="1696" w:type="dxa"/>
            <w:tcBorders>
              <w:top w:val="single" w:sz="18" w:space="0" w:color="auto"/>
              <w:left w:val="single" w:sz="4" w:space="0" w:color="FFFFFF" w:themeColor="background1"/>
            </w:tcBorders>
          </w:tcPr>
          <w:p w:rsidR="009A3AFE" w:rsidRDefault="009A3AFE" w:rsidP="009A3AFE">
            <w:pPr>
              <w:jc w:val="right"/>
              <w:rPr>
                <w:szCs w:val="24"/>
              </w:rPr>
            </w:pPr>
            <w:r>
              <w:rPr>
                <w:szCs w:val="24"/>
              </w:rPr>
              <w:t>170.8</w:t>
            </w:r>
          </w:p>
        </w:tc>
      </w:tr>
      <w:tr w:rsidR="009A3AFE" w:rsidTr="009A3AFE">
        <w:tc>
          <w:tcPr>
            <w:tcW w:w="5058" w:type="dxa"/>
          </w:tcPr>
          <w:p w:rsidR="009A3AFE" w:rsidRDefault="009A3AFE" w:rsidP="009A3AFE">
            <w:pPr>
              <w:rPr>
                <w:szCs w:val="24"/>
              </w:rPr>
            </w:pPr>
          </w:p>
          <w:p w:rsidR="009A3AFE" w:rsidRPr="00CB2E58" w:rsidRDefault="009A3AFE" w:rsidP="009A3AFE">
            <w:pPr>
              <w:rPr>
                <w:b/>
                <w:szCs w:val="24"/>
              </w:rPr>
            </w:pPr>
            <w:r w:rsidRPr="00CB2E58">
              <w:rPr>
                <w:b/>
                <w:szCs w:val="24"/>
              </w:rPr>
              <w:t>Employees' contributions</w:t>
            </w:r>
          </w:p>
        </w:tc>
        <w:tc>
          <w:tcPr>
            <w:tcW w:w="1559" w:type="dxa"/>
          </w:tcPr>
          <w:p w:rsidR="009A3AFE" w:rsidRDefault="009A3AFE" w:rsidP="009A3AFE">
            <w:pPr>
              <w:jc w:val="right"/>
              <w:rPr>
                <w:szCs w:val="24"/>
              </w:rPr>
            </w:pPr>
          </w:p>
        </w:tc>
        <w:tc>
          <w:tcPr>
            <w:tcW w:w="430" w:type="dxa"/>
          </w:tcPr>
          <w:p w:rsidR="009A3AFE" w:rsidRDefault="009A3AFE" w:rsidP="009A3AFE">
            <w:pPr>
              <w:jc w:val="right"/>
              <w:rPr>
                <w:szCs w:val="24"/>
              </w:rPr>
            </w:pPr>
          </w:p>
        </w:tc>
        <w:tc>
          <w:tcPr>
            <w:tcW w:w="1696" w:type="dxa"/>
          </w:tcPr>
          <w:p w:rsidR="009A3AFE" w:rsidRDefault="009A3AFE" w:rsidP="009A3AFE">
            <w:pPr>
              <w:jc w:val="right"/>
              <w:rPr>
                <w:szCs w:val="24"/>
              </w:rPr>
            </w:pPr>
          </w:p>
        </w:tc>
      </w:tr>
      <w:tr w:rsidR="009A3AFE" w:rsidTr="009A3AFE">
        <w:tc>
          <w:tcPr>
            <w:tcW w:w="5058" w:type="dxa"/>
          </w:tcPr>
          <w:p w:rsidR="009A3AFE" w:rsidRDefault="009A3AFE" w:rsidP="009A3AFE">
            <w:pPr>
              <w:rPr>
                <w:szCs w:val="24"/>
              </w:rPr>
            </w:pPr>
            <w:r>
              <w:rPr>
                <w:szCs w:val="24"/>
              </w:rPr>
              <w:t>County Council</w:t>
            </w:r>
          </w:p>
        </w:tc>
        <w:tc>
          <w:tcPr>
            <w:tcW w:w="1559" w:type="dxa"/>
          </w:tcPr>
          <w:p w:rsidR="009A3AFE" w:rsidRDefault="009A3AFE" w:rsidP="009A3AFE">
            <w:pPr>
              <w:jc w:val="right"/>
              <w:rPr>
                <w:szCs w:val="24"/>
              </w:rPr>
            </w:pPr>
            <w:r>
              <w:rPr>
                <w:szCs w:val="24"/>
              </w:rPr>
              <w:t>20.5</w:t>
            </w:r>
          </w:p>
        </w:tc>
        <w:tc>
          <w:tcPr>
            <w:tcW w:w="430" w:type="dxa"/>
          </w:tcPr>
          <w:p w:rsidR="009A3AFE" w:rsidRDefault="009A3AFE" w:rsidP="009A3AFE">
            <w:pPr>
              <w:jc w:val="right"/>
              <w:rPr>
                <w:szCs w:val="24"/>
              </w:rPr>
            </w:pPr>
          </w:p>
        </w:tc>
        <w:tc>
          <w:tcPr>
            <w:tcW w:w="1696" w:type="dxa"/>
          </w:tcPr>
          <w:p w:rsidR="009A3AFE" w:rsidRDefault="009A3AFE" w:rsidP="009A3AFE">
            <w:pPr>
              <w:jc w:val="right"/>
              <w:rPr>
                <w:szCs w:val="24"/>
              </w:rPr>
            </w:pPr>
            <w:r>
              <w:rPr>
                <w:szCs w:val="24"/>
              </w:rPr>
              <w:t>22.5</w:t>
            </w:r>
          </w:p>
        </w:tc>
      </w:tr>
      <w:tr w:rsidR="009A3AFE" w:rsidTr="009A3AFE">
        <w:tc>
          <w:tcPr>
            <w:tcW w:w="5058" w:type="dxa"/>
          </w:tcPr>
          <w:p w:rsidR="009A3AFE" w:rsidRDefault="009A3AFE" w:rsidP="009A3AFE">
            <w:pPr>
              <w:rPr>
                <w:szCs w:val="24"/>
              </w:rPr>
            </w:pPr>
            <w:r>
              <w:rPr>
                <w:szCs w:val="24"/>
              </w:rPr>
              <w:t>Scheduled Bodies</w:t>
            </w:r>
          </w:p>
        </w:tc>
        <w:tc>
          <w:tcPr>
            <w:tcW w:w="1559" w:type="dxa"/>
          </w:tcPr>
          <w:p w:rsidR="009A3AFE" w:rsidRDefault="009A3AFE" w:rsidP="009A3AFE">
            <w:pPr>
              <w:jc w:val="right"/>
              <w:rPr>
                <w:szCs w:val="24"/>
              </w:rPr>
            </w:pPr>
            <w:r>
              <w:rPr>
                <w:szCs w:val="24"/>
              </w:rPr>
              <w:t>26.8</w:t>
            </w:r>
          </w:p>
        </w:tc>
        <w:tc>
          <w:tcPr>
            <w:tcW w:w="430" w:type="dxa"/>
            <w:tcBorders>
              <w:right w:val="single" w:sz="4" w:space="0" w:color="FFFFFF" w:themeColor="background1"/>
            </w:tcBorders>
          </w:tcPr>
          <w:p w:rsidR="009A3AFE" w:rsidRDefault="009A3AFE" w:rsidP="009A3AFE">
            <w:pPr>
              <w:jc w:val="right"/>
              <w:rPr>
                <w:szCs w:val="24"/>
              </w:rPr>
            </w:pPr>
          </w:p>
        </w:tc>
        <w:tc>
          <w:tcPr>
            <w:tcW w:w="1696" w:type="dxa"/>
            <w:tcBorders>
              <w:left w:val="single" w:sz="4" w:space="0" w:color="FFFFFF" w:themeColor="background1"/>
            </w:tcBorders>
          </w:tcPr>
          <w:p w:rsidR="009A3AFE" w:rsidRDefault="009A3AFE" w:rsidP="009A3AFE">
            <w:pPr>
              <w:jc w:val="right"/>
              <w:rPr>
                <w:szCs w:val="24"/>
              </w:rPr>
            </w:pPr>
            <w:r>
              <w:rPr>
                <w:szCs w:val="24"/>
              </w:rPr>
              <w:t>28.8</w:t>
            </w:r>
          </w:p>
        </w:tc>
      </w:tr>
      <w:tr w:rsidR="009A3AFE" w:rsidTr="009A3AFE">
        <w:tc>
          <w:tcPr>
            <w:tcW w:w="5058" w:type="dxa"/>
          </w:tcPr>
          <w:p w:rsidR="009A3AFE" w:rsidRDefault="009A3AFE" w:rsidP="009A3AFE">
            <w:pPr>
              <w:rPr>
                <w:szCs w:val="24"/>
              </w:rPr>
            </w:pPr>
            <w:r>
              <w:rPr>
                <w:szCs w:val="24"/>
              </w:rPr>
              <w:t>Admitted</w:t>
            </w:r>
          </w:p>
        </w:tc>
        <w:tc>
          <w:tcPr>
            <w:tcW w:w="1559" w:type="dxa"/>
            <w:tcBorders>
              <w:bottom w:val="single" w:sz="18" w:space="0" w:color="auto"/>
            </w:tcBorders>
          </w:tcPr>
          <w:p w:rsidR="009A3AFE" w:rsidRDefault="009A3AFE" w:rsidP="009A3AFE">
            <w:pPr>
              <w:jc w:val="right"/>
              <w:rPr>
                <w:szCs w:val="24"/>
              </w:rPr>
            </w:pPr>
            <w:r>
              <w:rPr>
                <w:szCs w:val="24"/>
              </w:rPr>
              <w:t>4.9</w:t>
            </w:r>
          </w:p>
        </w:tc>
        <w:tc>
          <w:tcPr>
            <w:tcW w:w="430" w:type="dxa"/>
            <w:tcBorders>
              <w:right w:val="single" w:sz="4" w:space="0" w:color="FFFFFF" w:themeColor="background1"/>
            </w:tcBorders>
          </w:tcPr>
          <w:p w:rsidR="009A3AFE" w:rsidRDefault="009A3AFE" w:rsidP="009A3AFE">
            <w:pPr>
              <w:jc w:val="right"/>
              <w:rPr>
                <w:szCs w:val="24"/>
              </w:rPr>
            </w:pPr>
          </w:p>
        </w:tc>
        <w:tc>
          <w:tcPr>
            <w:tcW w:w="1696" w:type="dxa"/>
            <w:tcBorders>
              <w:left w:val="single" w:sz="4" w:space="0" w:color="FFFFFF" w:themeColor="background1"/>
              <w:bottom w:val="single" w:sz="18" w:space="0" w:color="auto"/>
            </w:tcBorders>
          </w:tcPr>
          <w:p w:rsidR="009A3AFE" w:rsidRDefault="009A3AFE" w:rsidP="009A3AFE">
            <w:pPr>
              <w:jc w:val="right"/>
              <w:rPr>
                <w:szCs w:val="24"/>
              </w:rPr>
            </w:pPr>
            <w:r>
              <w:rPr>
                <w:szCs w:val="24"/>
              </w:rPr>
              <w:t>5.1</w:t>
            </w:r>
          </w:p>
        </w:tc>
      </w:tr>
      <w:tr w:rsidR="009A3AFE" w:rsidTr="009A3AFE">
        <w:tc>
          <w:tcPr>
            <w:tcW w:w="5058" w:type="dxa"/>
          </w:tcPr>
          <w:p w:rsidR="009A3AFE" w:rsidRDefault="009A3AFE" w:rsidP="009A3AFE">
            <w:pPr>
              <w:rPr>
                <w:szCs w:val="24"/>
              </w:rPr>
            </w:pPr>
          </w:p>
        </w:tc>
        <w:tc>
          <w:tcPr>
            <w:tcW w:w="1559" w:type="dxa"/>
            <w:tcBorders>
              <w:top w:val="single" w:sz="18" w:space="0" w:color="auto"/>
              <w:bottom w:val="single" w:sz="18" w:space="0" w:color="auto"/>
            </w:tcBorders>
          </w:tcPr>
          <w:p w:rsidR="009A3AFE" w:rsidRDefault="009A3AFE" w:rsidP="009A3AFE">
            <w:pPr>
              <w:jc w:val="right"/>
              <w:rPr>
                <w:szCs w:val="24"/>
              </w:rPr>
            </w:pPr>
            <w:r>
              <w:rPr>
                <w:szCs w:val="24"/>
              </w:rPr>
              <w:t>52.2</w:t>
            </w:r>
          </w:p>
        </w:tc>
        <w:tc>
          <w:tcPr>
            <w:tcW w:w="430" w:type="dxa"/>
            <w:tcBorders>
              <w:right w:val="single" w:sz="4" w:space="0" w:color="FFFFFF" w:themeColor="background1"/>
            </w:tcBorders>
          </w:tcPr>
          <w:p w:rsidR="009A3AFE" w:rsidRDefault="009A3AFE" w:rsidP="009A3AFE">
            <w:pPr>
              <w:jc w:val="right"/>
              <w:rPr>
                <w:szCs w:val="24"/>
              </w:rPr>
            </w:pPr>
          </w:p>
        </w:tc>
        <w:tc>
          <w:tcPr>
            <w:tcW w:w="1696" w:type="dxa"/>
            <w:tcBorders>
              <w:top w:val="single" w:sz="18" w:space="0" w:color="auto"/>
              <w:left w:val="single" w:sz="4" w:space="0" w:color="FFFFFF" w:themeColor="background1"/>
              <w:bottom w:val="single" w:sz="18" w:space="0" w:color="auto"/>
            </w:tcBorders>
          </w:tcPr>
          <w:p w:rsidR="009A3AFE" w:rsidRDefault="009A3AFE" w:rsidP="009A3AFE">
            <w:pPr>
              <w:jc w:val="right"/>
              <w:rPr>
                <w:szCs w:val="24"/>
              </w:rPr>
            </w:pPr>
            <w:r>
              <w:rPr>
                <w:szCs w:val="24"/>
              </w:rPr>
              <w:t>56.4</w:t>
            </w:r>
          </w:p>
        </w:tc>
      </w:tr>
      <w:tr w:rsidR="009A3AFE" w:rsidTr="009A3AFE">
        <w:tc>
          <w:tcPr>
            <w:tcW w:w="5058" w:type="dxa"/>
          </w:tcPr>
          <w:p w:rsidR="009A3AFE" w:rsidRDefault="009A3AFE" w:rsidP="009A3AFE">
            <w:pPr>
              <w:rPr>
                <w:szCs w:val="24"/>
              </w:rPr>
            </w:pPr>
            <w:r>
              <w:rPr>
                <w:szCs w:val="24"/>
              </w:rPr>
              <w:t>Total contributions</w:t>
            </w:r>
          </w:p>
        </w:tc>
        <w:tc>
          <w:tcPr>
            <w:tcW w:w="1559" w:type="dxa"/>
            <w:tcBorders>
              <w:top w:val="single" w:sz="18" w:space="0" w:color="auto"/>
              <w:bottom w:val="single" w:sz="18" w:space="0" w:color="auto"/>
            </w:tcBorders>
          </w:tcPr>
          <w:p w:rsidR="009A3AFE" w:rsidRDefault="009A3AFE" w:rsidP="009A3AFE">
            <w:pPr>
              <w:jc w:val="right"/>
              <w:rPr>
                <w:szCs w:val="24"/>
              </w:rPr>
            </w:pPr>
            <w:r>
              <w:rPr>
                <w:szCs w:val="24"/>
              </w:rPr>
              <w:t>209.3</w:t>
            </w:r>
          </w:p>
        </w:tc>
        <w:tc>
          <w:tcPr>
            <w:tcW w:w="430" w:type="dxa"/>
            <w:tcBorders>
              <w:right w:val="single" w:sz="4" w:space="0" w:color="FFFFFF" w:themeColor="background1"/>
            </w:tcBorders>
          </w:tcPr>
          <w:p w:rsidR="009A3AFE" w:rsidRDefault="009A3AFE" w:rsidP="009A3AFE">
            <w:pPr>
              <w:jc w:val="right"/>
              <w:rPr>
                <w:szCs w:val="24"/>
              </w:rPr>
            </w:pPr>
          </w:p>
        </w:tc>
        <w:tc>
          <w:tcPr>
            <w:tcW w:w="1696" w:type="dxa"/>
            <w:tcBorders>
              <w:top w:val="single" w:sz="18" w:space="0" w:color="auto"/>
              <w:left w:val="single" w:sz="4" w:space="0" w:color="FFFFFF" w:themeColor="background1"/>
              <w:bottom w:val="single" w:sz="18" w:space="0" w:color="auto"/>
            </w:tcBorders>
          </w:tcPr>
          <w:p w:rsidR="009A3AFE" w:rsidRDefault="009A3AFE" w:rsidP="009A3AFE">
            <w:pPr>
              <w:jc w:val="right"/>
              <w:rPr>
                <w:szCs w:val="24"/>
              </w:rPr>
            </w:pPr>
            <w:r>
              <w:rPr>
                <w:szCs w:val="24"/>
              </w:rPr>
              <w:t>227.2</w:t>
            </w:r>
          </w:p>
        </w:tc>
      </w:tr>
    </w:tbl>
    <w:p w:rsidR="009A3AFE" w:rsidRDefault="009A3AFE" w:rsidP="009A3AFE">
      <w:pPr>
        <w:rPr>
          <w:b/>
          <w:szCs w:val="24"/>
        </w:rPr>
      </w:pPr>
    </w:p>
    <w:p w:rsidR="009A3AFE" w:rsidRDefault="009A3AFE" w:rsidP="009A3AFE">
      <w:pPr>
        <w:ind w:left="720"/>
        <w:rPr>
          <w:b/>
          <w:szCs w:val="24"/>
        </w:rPr>
      </w:pPr>
      <w:r w:rsidRPr="00166665">
        <w:rPr>
          <w:szCs w:val="24"/>
        </w:rPr>
        <w:t>Within the employee contributions figure for 20</w:t>
      </w:r>
      <w:r>
        <w:rPr>
          <w:szCs w:val="24"/>
        </w:rPr>
        <w:t>11</w:t>
      </w:r>
      <w:r w:rsidRPr="00166665">
        <w:rPr>
          <w:szCs w:val="24"/>
        </w:rPr>
        <w:t>/1</w:t>
      </w:r>
      <w:r>
        <w:rPr>
          <w:szCs w:val="24"/>
        </w:rPr>
        <w:t>2</w:t>
      </w:r>
      <w:r w:rsidRPr="00166665">
        <w:rPr>
          <w:szCs w:val="24"/>
        </w:rPr>
        <w:t xml:space="preserve">, </w:t>
      </w:r>
      <w:r w:rsidRPr="00CC30FE">
        <w:rPr>
          <w:szCs w:val="24"/>
        </w:rPr>
        <w:t>£242</w:t>
      </w:r>
      <w:r>
        <w:rPr>
          <w:szCs w:val="24"/>
        </w:rPr>
        <w:t>,830.87</w:t>
      </w:r>
      <w:r w:rsidRPr="00166665">
        <w:rPr>
          <w:szCs w:val="24"/>
        </w:rPr>
        <w:t xml:space="preserve"> is voluntary and additional regular contributions.  All </w:t>
      </w:r>
      <w:r w:rsidRPr="00DF129C">
        <w:rPr>
          <w:szCs w:val="24"/>
        </w:rPr>
        <w:t>employer</w:t>
      </w:r>
      <w:r w:rsidRPr="00166665">
        <w:rPr>
          <w:szCs w:val="24"/>
        </w:rPr>
        <w:t xml:space="preserve"> contributions are normal contributions.  </w:t>
      </w:r>
    </w:p>
    <w:p w:rsidR="009A3AFE" w:rsidRDefault="009A3AFE" w:rsidP="009A3AFE">
      <w:pPr>
        <w:rPr>
          <w:b/>
          <w:szCs w:val="24"/>
        </w:rPr>
      </w:pPr>
    </w:p>
    <w:p w:rsidR="009A3AFE" w:rsidRDefault="009A3AFE" w:rsidP="009A3AFE">
      <w:pPr>
        <w:rPr>
          <w:b/>
          <w:szCs w:val="24"/>
        </w:rPr>
      </w:pPr>
    </w:p>
    <w:p w:rsidR="009A3AFE" w:rsidRPr="00636AC9" w:rsidRDefault="009A3AFE" w:rsidP="009A3AFE">
      <w:pPr>
        <w:pStyle w:val="ListParagraph"/>
        <w:numPr>
          <w:ilvl w:val="0"/>
          <w:numId w:val="2"/>
        </w:numPr>
        <w:rPr>
          <w:b/>
        </w:rPr>
      </w:pPr>
      <w:r>
        <w:rPr>
          <w:b/>
        </w:rPr>
        <w:t>Transfers in</w:t>
      </w:r>
    </w:p>
    <w:p w:rsidR="009A3AFE" w:rsidRDefault="009A3AFE" w:rsidP="009A3AFE">
      <w:pPr>
        <w:rPr>
          <w:b/>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9A3AFE" w:rsidTr="009A3AFE">
        <w:tc>
          <w:tcPr>
            <w:tcW w:w="5058" w:type="dxa"/>
          </w:tcPr>
          <w:p w:rsidR="009A3AFE" w:rsidRDefault="009A3AFE" w:rsidP="009A3AFE">
            <w:pPr>
              <w:rPr>
                <w:b/>
                <w:szCs w:val="24"/>
              </w:rPr>
            </w:pPr>
          </w:p>
        </w:tc>
        <w:tc>
          <w:tcPr>
            <w:tcW w:w="1559" w:type="dxa"/>
          </w:tcPr>
          <w:p w:rsidR="009A3AFE" w:rsidRDefault="009A3AFE" w:rsidP="009A3AFE">
            <w:pPr>
              <w:jc w:val="right"/>
              <w:rPr>
                <w:b/>
                <w:szCs w:val="24"/>
              </w:rPr>
            </w:pPr>
            <w:r>
              <w:rPr>
                <w:b/>
                <w:szCs w:val="24"/>
              </w:rPr>
              <w:t>2011/12</w:t>
            </w:r>
          </w:p>
          <w:p w:rsidR="009A3AFE" w:rsidRDefault="009A3AFE" w:rsidP="009A3AFE">
            <w:pPr>
              <w:jc w:val="right"/>
              <w:rPr>
                <w:b/>
                <w:szCs w:val="24"/>
              </w:rPr>
            </w:pPr>
            <w:r>
              <w:rPr>
                <w:b/>
                <w:szCs w:val="24"/>
              </w:rPr>
              <w:t>£m</w:t>
            </w:r>
          </w:p>
        </w:tc>
        <w:tc>
          <w:tcPr>
            <w:tcW w:w="430" w:type="dxa"/>
            <w:tcBorders>
              <w:right w:val="single" w:sz="4" w:space="0" w:color="FFFFFF" w:themeColor="background1"/>
            </w:tcBorders>
          </w:tcPr>
          <w:p w:rsidR="009A3AFE" w:rsidRDefault="009A3AFE" w:rsidP="009A3AFE">
            <w:pPr>
              <w:jc w:val="right"/>
              <w:rPr>
                <w:b/>
                <w:szCs w:val="24"/>
              </w:rPr>
            </w:pPr>
          </w:p>
          <w:p w:rsidR="009A3AFE" w:rsidRDefault="009A3AFE" w:rsidP="009A3AFE">
            <w:pPr>
              <w:jc w:val="right"/>
              <w:rPr>
                <w:b/>
                <w:szCs w:val="24"/>
              </w:rPr>
            </w:pPr>
          </w:p>
        </w:tc>
        <w:tc>
          <w:tcPr>
            <w:tcW w:w="1696" w:type="dxa"/>
            <w:tcBorders>
              <w:left w:val="single" w:sz="4" w:space="0" w:color="FFFFFF" w:themeColor="background1"/>
            </w:tcBorders>
          </w:tcPr>
          <w:p w:rsidR="009A3AFE" w:rsidRDefault="009A3AFE" w:rsidP="009A3AFE">
            <w:pPr>
              <w:jc w:val="right"/>
              <w:rPr>
                <w:b/>
                <w:szCs w:val="24"/>
              </w:rPr>
            </w:pPr>
            <w:r>
              <w:rPr>
                <w:b/>
                <w:szCs w:val="24"/>
              </w:rPr>
              <w:t>2010/11</w:t>
            </w:r>
          </w:p>
          <w:p w:rsidR="009A3AFE" w:rsidRDefault="009A3AFE" w:rsidP="009A3AFE">
            <w:pPr>
              <w:jc w:val="right"/>
              <w:rPr>
                <w:b/>
                <w:szCs w:val="24"/>
              </w:rPr>
            </w:pPr>
            <w:r>
              <w:rPr>
                <w:b/>
                <w:szCs w:val="24"/>
              </w:rPr>
              <w:t>£m</w:t>
            </w:r>
          </w:p>
          <w:p w:rsidR="009A3AFE" w:rsidRDefault="009A3AFE" w:rsidP="009A3AFE">
            <w:pPr>
              <w:jc w:val="right"/>
              <w:rPr>
                <w:b/>
                <w:szCs w:val="24"/>
              </w:rPr>
            </w:pPr>
          </w:p>
        </w:tc>
      </w:tr>
      <w:tr w:rsidR="009A3AFE" w:rsidRPr="007A07AD" w:rsidTr="009A3AFE">
        <w:tc>
          <w:tcPr>
            <w:tcW w:w="5058" w:type="dxa"/>
          </w:tcPr>
          <w:p w:rsidR="009A3AFE" w:rsidRPr="007A07AD" w:rsidRDefault="009A3AFE" w:rsidP="009A3AFE">
            <w:pPr>
              <w:rPr>
                <w:szCs w:val="24"/>
              </w:rPr>
            </w:pPr>
            <w:r>
              <w:rPr>
                <w:szCs w:val="24"/>
              </w:rPr>
              <w:t>Individual transfers in from other schemes</w:t>
            </w:r>
          </w:p>
        </w:tc>
        <w:tc>
          <w:tcPr>
            <w:tcW w:w="1559" w:type="dxa"/>
          </w:tcPr>
          <w:p w:rsidR="009A3AFE" w:rsidRPr="007A07AD" w:rsidRDefault="009A3AFE" w:rsidP="009A3AFE">
            <w:pPr>
              <w:jc w:val="right"/>
              <w:rPr>
                <w:szCs w:val="24"/>
              </w:rPr>
            </w:pPr>
            <w:r>
              <w:rPr>
                <w:szCs w:val="24"/>
              </w:rPr>
              <w:t>11.1</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r>
              <w:rPr>
                <w:szCs w:val="24"/>
              </w:rPr>
              <w:t>15.6</w:t>
            </w:r>
          </w:p>
        </w:tc>
      </w:tr>
      <w:tr w:rsidR="009A3AFE" w:rsidRPr="007A07AD" w:rsidTr="009A3AFE">
        <w:tc>
          <w:tcPr>
            <w:tcW w:w="5058" w:type="dxa"/>
          </w:tcPr>
          <w:p w:rsidR="009A3AFE" w:rsidRDefault="009A3AFE" w:rsidP="009A3AFE">
            <w:pPr>
              <w:rPr>
                <w:szCs w:val="24"/>
              </w:rPr>
            </w:pPr>
            <w:r>
              <w:rPr>
                <w:szCs w:val="24"/>
              </w:rPr>
              <w:t>Bulk transfers in from other schemes</w:t>
            </w:r>
          </w:p>
        </w:tc>
        <w:tc>
          <w:tcPr>
            <w:tcW w:w="1559" w:type="dxa"/>
            <w:tcBorders>
              <w:bottom w:val="single" w:sz="18" w:space="0" w:color="auto"/>
            </w:tcBorders>
          </w:tcPr>
          <w:p w:rsidR="009A3AFE" w:rsidRPr="007A07AD" w:rsidRDefault="009A3AFE" w:rsidP="009A3AFE">
            <w:pPr>
              <w:jc w:val="right"/>
              <w:rPr>
                <w:szCs w:val="24"/>
              </w:rPr>
            </w:pPr>
            <w:r>
              <w:rPr>
                <w:szCs w:val="24"/>
              </w:rPr>
              <w:t>-</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bottom w:val="single" w:sz="18" w:space="0" w:color="auto"/>
            </w:tcBorders>
          </w:tcPr>
          <w:p w:rsidR="009A3AFE" w:rsidRDefault="009A3AFE" w:rsidP="009A3AFE">
            <w:pPr>
              <w:jc w:val="right"/>
              <w:rPr>
                <w:szCs w:val="24"/>
              </w:rPr>
            </w:pPr>
            <w:r>
              <w:rPr>
                <w:szCs w:val="24"/>
              </w:rPr>
              <w:t>-</w:t>
            </w:r>
          </w:p>
        </w:tc>
      </w:tr>
      <w:tr w:rsidR="009A3AFE" w:rsidRPr="007A07AD" w:rsidTr="009A3AFE">
        <w:tc>
          <w:tcPr>
            <w:tcW w:w="5058" w:type="dxa"/>
          </w:tcPr>
          <w:p w:rsidR="009A3AFE" w:rsidRDefault="009A3AFE" w:rsidP="009A3AFE">
            <w:pPr>
              <w:rPr>
                <w:szCs w:val="24"/>
              </w:rPr>
            </w:pPr>
          </w:p>
        </w:tc>
        <w:tc>
          <w:tcPr>
            <w:tcW w:w="1559" w:type="dxa"/>
            <w:tcBorders>
              <w:top w:val="single" w:sz="18" w:space="0" w:color="auto"/>
              <w:bottom w:val="single" w:sz="18" w:space="0" w:color="auto"/>
            </w:tcBorders>
          </w:tcPr>
          <w:p w:rsidR="009A3AFE" w:rsidRPr="007A07AD" w:rsidRDefault="009A3AFE" w:rsidP="009A3AFE">
            <w:pPr>
              <w:jc w:val="right"/>
              <w:rPr>
                <w:szCs w:val="24"/>
              </w:rPr>
            </w:pPr>
            <w:r>
              <w:rPr>
                <w:szCs w:val="24"/>
              </w:rPr>
              <w:t>11.1</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top w:val="single" w:sz="18" w:space="0" w:color="auto"/>
              <w:left w:val="single" w:sz="4" w:space="0" w:color="FFFFFF" w:themeColor="background1"/>
              <w:bottom w:val="single" w:sz="18" w:space="0" w:color="auto"/>
            </w:tcBorders>
          </w:tcPr>
          <w:p w:rsidR="009A3AFE" w:rsidRDefault="009A3AFE" w:rsidP="009A3AFE">
            <w:pPr>
              <w:jc w:val="right"/>
              <w:rPr>
                <w:szCs w:val="24"/>
              </w:rPr>
            </w:pPr>
            <w:r>
              <w:rPr>
                <w:szCs w:val="24"/>
              </w:rPr>
              <w:t>15.6</w:t>
            </w:r>
          </w:p>
        </w:tc>
      </w:tr>
    </w:tbl>
    <w:p w:rsidR="009A3AFE" w:rsidRDefault="009A3AFE" w:rsidP="009A3AFE">
      <w:pPr>
        <w:pStyle w:val="BodyTextIndent"/>
        <w:tabs>
          <w:tab w:val="clear" w:pos="1080"/>
          <w:tab w:val="left" w:pos="709"/>
        </w:tabs>
        <w:spacing w:after="0"/>
        <w:ind w:left="709"/>
        <w:rPr>
          <w:szCs w:val="24"/>
        </w:rPr>
      </w:pPr>
      <w:r w:rsidRPr="00166665">
        <w:rPr>
          <w:szCs w:val="24"/>
        </w:rPr>
        <w:t xml:space="preserve"> </w:t>
      </w:r>
    </w:p>
    <w:p w:rsidR="009A3AFE" w:rsidRDefault="009A3AFE" w:rsidP="009A3AFE">
      <w:pPr>
        <w:pStyle w:val="Header"/>
        <w:rPr>
          <w:szCs w:val="24"/>
        </w:rPr>
      </w:pPr>
    </w:p>
    <w:p w:rsidR="009A3AFE" w:rsidRPr="007A07AD" w:rsidRDefault="009A3AFE" w:rsidP="009A3AFE">
      <w:pPr>
        <w:numPr>
          <w:ilvl w:val="0"/>
          <w:numId w:val="2"/>
        </w:numPr>
        <w:rPr>
          <w:szCs w:val="24"/>
        </w:rPr>
      </w:pPr>
      <w:r w:rsidRPr="00166665">
        <w:rPr>
          <w:b/>
          <w:szCs w:val="24"/>
        </w:rPr>
        <w:t>Benefits</w:t>
      </w:r>
    </w:p>
    <w:p w:rsidR="009A3AFE" w:rsidRPr="007A07AD" w:rsidRDefault="009A3AFE" w:rsidP="009A3AFE">
      <w:pPr>
        <w:ind w:left="720"/>
        <w:rPr>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9A3AFE" w:rsidTr="009A3AFE">
        <w:tc>
          <w:tcPr>
            <w:tcW w:w="5058" w:type="dxa"/>
          </w:tcPr>
          <w:p w:rsidR="009A3AFE" w:rsidRDefault="009A3AFE" w:rsidP="009A3AFE">
            <w:pPr>
              <w:rPr>
                <w:b/>
                <w:szCs w:val="24"/>
              </w:rPr>
            </w:pPr>
          </w:p>
        </w:tc>
        <w:tc>
          <w:tcPr>
            <w:tcW w:w="1559" w:type="dxa"/>
          </w:tcPr>
          <w:p w:rsidR="009A3AFE" w:rsidRDefault="009A3AFE" w:rsidP="009A3AFE">
            <w:pPr>
              <w:jc w:val="right"/>
              <w:rPr>
                <w:b/>
                <w:szCs w:val="24"/>
              </w:rPr>
            </w:pPr>
            <w:r>
              <w:rPr>
                <w:b/>
                <w:szCs w:val="24"/>
              </w:rPr>
              <w:t>2011/12</w:t>
            </w:r>
          </w:p>
          <w:p w:rsidR="009A3AFE" w:rsidRDefault="009A3AFE" w:rsidP="009A3AFE">
            <w:pPr>
              <w:jc w:val="right"/>
              <w:rPr>
                <w:b/>
                <w:szCs w:val="24"/>
              </w:rPr>
            </w:pPr>
            <w:r>
              <w:rPr>
                <w:b/>
                <w:szCs w:val="24"/>
              </w:rPr>
              <w:t>£m</w:t>
            </w:r>
          </w:p>
        </w:tc>
        <w:tc>
          <w:tcPr>
            <w:tcW w:w="430" w:type="dxa"/>
            <w:tcBorders>
              <w:right w:val="single" w:sz="4" w:space="0" w:color="FFFFFF" w:themeColor="background1"/>
            </w:tcBorders>
          </w:tcPr>
          <w:p w:rsidR="009A3AFE" w:rsidRDefault="009A3AFE" w:rsidP="009A3AFE">
            <w:pPr>
              <w:jc w:val="right"/>
              <w:rPr>
                <w:b/>
                <w:szCs w:val="24"/>
              </w:rPr>
            </w:pPr>
          </w:p>
          <w:p w:rsidR="009A3AFE" w:rsidRDefault="009A3AFE" w:rsidP="009A3AFE">
            <w:pPr>
              <w:jc w:val="right"/>
              <w:rPr>
                <w:b/>
                <w:szCs w:val="24"/>
              </w:rPr>
            </w:pPr>
          </w:p>
        </w:tc>
        <w:tc>
          <w:tcPr>
            <w:tcW w:w="1696" w:type="dxa"/>
            <w:tcBorders>
              <w:left w:val="single" w:sz="4" w:space="0" w:color="FFFFFF" w:themeColor="background1"/>
            </w:tcBorders>
          </w:tcPr>
          <w:p w:rsidR="009A3AFE" w:rsidRDefault="009A3AFE" w:rsidP="009A3AFE">
            <w:pPr>
              <w:jc w:val="right"/>
              <w:rPr>
                <w:b/>
                <w:szCs w:val="24"/>
              </w:rPr>
            </w:pPr>
            <w:r>
              <w:rPr>
                <w:b/>
                <w:szCs w:val="24"/>
              </w:rPr>
              <w:t>2010/11</w:t>
            </w:r>
          </w:p>
          <w:p w:rsidR="009A3AFE" w:rsidRDefault="009A3AFE" w:rsidP="009A3AFE">
            <w:pPr>
              <w:jc w:val="right"/>
              <w:rPr>
                <w:b/>
                <w:szCs w:val="24"/>
              </w:rPr>
            </w:pPr>
            <w:r>
              <w:rPr>
                <w:b/>
                <w:szCs w:val="24"/>
              </w:rPr>
              <w:t>£m</w:t>
            </w:r>
          </w:p>
          <w:p w:rsidR="009A3AFE" w:rsidRDefault="009A3AFE" w:rsidP="009A3AFE">
            <w:pPr>
              <w:jc w:val="right"/>
              <w:rPr>
                <w:b/>
                <w:szCs w:val="24"/>
              </w:rPr>
            </w:pPr>
          </w:p>
        </w:tc>
      </w:tr>
      <w:tr w:rsidR="009A3AFE" w:rsidRPr="007A07AD" w:rsidTr="009A3AFE">
        <w:tc>
          <w:tcPr>
            <w:tcW w:w="5058" w:type="dxa"/>
          </w:tcPr>
          <w:p w:rsidR="009A3AFE" w:rsidRPr="007A07AD" w:rsidRDefault="009A3AFE" w:rsidP="009A3AFE">
            <w:pPr>
              <w:rPr>
                <w:szCs w:val="24"/>
              </w:rPr>
            </w:pPr>
            <w:r>
              <w:rPr>
                <w:szCs w:val="24"/>
              </w:rPr>
              <w:t>Pensions</w:t>
            </w:r>
          </w:p>
        </w:tc>
        <w:tc>
          <w:tcPr>
            <w:tcW w:w="1559" w:type="dxa"/>
          </w:tcPr>
          <w:p w:rsidR="009A3AFE" w:rsidRPr="007A07AD" w:rsidRDefault="009A3AFE" w:rsidP="009A3AFE">
            <w:pPr>
              <w:jc w:val="right"/>
              <w:rPr>
                <w:szCs w:val="24"/>
              </w:rPr>
            </w:pPr>
            <w:r>
              <w:rPr>
                <w:szCs w:val="24"/>
              </w:rPr>
              <w:t>163.6</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r>
              <w:rPr>
                <w:szCs w:val="24"/>
              </w:rPr>
              <w:t>149.2</w:t>
            </w:r>
          </w:p>
        </w:tc>
      </w:tr>
      <w:tr w:rsidR="009A3AFE" w:rsidRPr="007A07AD" w:rsidTr="009A3AFE">
        <w:tc>
          <w:tcPr>
            <w:tcW w:w="5058" w:type="dxa"/>
          </w:tcPr>
          <w:p w:rsidR="009A3AFE" w:rsidRDefault="009A3AFE" w:rsidP="009A3AFE">
            <w:pPr>
              <w:rPr>
                <w:szCs w:val="24"/>
              </w:rPr>
            </w:pPr>
            <w:r>
              <w:rPr>
                <w:szCs w:val="24"/>
              </w:rPr>
              <w:t>Lump sum retirement benefits</w:t>
            </w:r>
          </w:p>
        </w:tc>
        <w:tc>
          <w:tcPr>
            <w:tcW w:w="1559" w:type="dxa"/>
          </w:tcPr>
          <w:p w:rsidR="009A3AFE" w:rsidRPr="007A07AD" w:rsidRDefault="009A3AFE" w:rsidP="009A3AFE">
            <w:pPr>
              <w:jc w:val="right"/>
              <w:rPr>
                <w:szCs w:val="24"/>
              </w:rPr>
            </w:pPr>
            <w:r>
              <w:rPr>
                <w:szCs w:val="24"/>
              </w:rPr>
              <w:t>51.0</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Default="009A3AFE" w:rsidP="009A3AFE">
            <w:pPr>
              <w:jc w:val="right"/>
              <w:rPr>
                <w:szCs w:val="24"/>
              </w:rPr>
            </w:pPr>
            <w:r>
              <w:rPr>
                <w:szCs w:val="24"/>
              </w:rPr>
              <w:t>60.9</w:t>
            </w:r>
          </w:p>
        </w:tc>
      </w:tr>
      <w:tr w:rsidR="009A3AFE" w:rsidRPr="007A07AD" w:rsidTr="009A3AFE">
        <w:tc>
          <w:tcPr>
            <w:tcW w:w="5058" w:type="dxa"/>
          </w:tcPr>
          <w:p w:rsidR="009A3AFE" w:rsidRDefault="009A3AFE" w:rsidP="009A3AFE">
            <w:pPr>
              <w:rPr>
                <w:szCs w:val="24"/>
              </w:rPr>
            </w:pPr>
            <w:r>
              <w:rPr>
                <w:szCs w:val="24"/>
              </w:rPr>
              <w:t>Lump Sum death benefits</w:t>
            </w:r>
          </w:p>
        </w:tc>
        <w:tc>
          <w:tcPr>
            <w:tcW w:w="1559" w:type="dxa"/>
            <w:tcBorders>
              <w:bottom w:val="single" w:sz="18" w:space="0" w:color="auto"/>
            </w:tcBorders>
          </w:tcPr>
          <w:p w:rsidR="009A3AFE" w:rsidRPr="007A07AD" w:rsidRDefault="009A3AFE" w:rsidP="009A3AFE">
            <w:pPr>
              <w:jc w:val="right"/>
              <w:rPr>
                <w:szCs w:val="24"/>
              </w:rPr>
            </w:pPr>
            <w:r>
              <w:rPr>
                <w:szCs w:val="24"/>
              </w:rPr>
              <w:t>4.5</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bottom w:val="single" w:sz="18" w:space="0" w:color="auto"/>
            </w:tcBorders>
          </w:tcPr>
          <w:p w:rsidR="009A3AFE" w:rsidRDefault="009A3AFE" w:rsidP="009A3AFE">
            <w:pPr>
              <w:jc w:val="right"/>
              <w:rPr>
                <w:szCs w:val="24"/>
              </w:rPr>
            </w:pPr>
            <w:r>
              <w:rPr>
                <w:szCs w:val="24"/>
              </w:rPr>
              <w:t>4.4</w:t>
            </w:r>
          </w:p>
        </w:tc>
      </w:tr>
      <w:tr w:rsidR="009A3AFE" w:rsidRPr="007A07AD" w:rsidTr="009A3AFE">
        <w:tc>
          <w:tcPr>
            <w:tcW w:w="5058" w:type="dxa"/>
          </w:tcPr>
          <w:p w:rsidR="009A3AFE" w:rsidRDefault="009A3AFE" w:rsidP="009A3AFE">
            <w:pPr>
              <w:rPr>
                <w:szCs w:val="24"/>
              </w:rPr>
            </w:pPr>
          </w:p>
        </w:tc>
        <w:tc>
          <w:tcPr>
            <w:tcW w:w="1559" w:type="dxa"/>
            <w:tcBorders>
              <w:top w:val="single" w:sz="18" w:space="0" w:color="auto"/>
              <w:bottom w:val="single" w:sz="18" w:space="0" w:color="auto"/>
            </w:tcBorders>
          </w:tcPr>
          <w:p w:rsidR="009A3AFE" w:rsidRPr="007A07AD" w:rsidRDefault="009A3AFE" w:rsidP="009A3AFE">
            <w:pPr>
              <w:jc w:val="right"/>
              <w:rPr>
                <w:szCs w:val="24"/>
              </w:rPr>
            </w:pPr>
            <w:r>
              <w:rPr>
                <w:szCs w:val="24"/>
              </w:rPr>
              <w:t>219.1</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top w:val="single" w:sz="18" w:space="0" w:color="auto"/>
              <w:left w:val="single" w:sz="4" w:space="0" w:color="FFFFFF" w:themeColor="background1"/>
              <w:bottom w:val="single" w:sz="18" w:space="0" w:color="auto"/>
            </w:tcBorders>
          </w:tcPr>
          <w:p w:rsidR="009A3AFE" w:rsidRDefault="009A3AFE" w:rsidP="009A3AFE">
            <w:pPr>
              <w:jc w:val="right"/>
              <w:rPr>
                <w:szCs w:val="24"/>
              </w:rPr>
            </w:pPr>
            <w:r>
              <w:rPr>
                <w:szCs w:val="24"/>
              </w:rPr>
              <w:t>214.5</w:t>
            </w:r>
          </w:p>
        </w:tc>
      </w:tr>
    </w:tbl>
    <w:p w:rsidR="009A3AFE" w:rsidRPr="007A07AD" w:rsidRDefault="009A3AFE" w:rsidP="009A3AFE">
      <w:pPr>
        <w:ind w:left="720"/>
        <w:rPr>
          <w:szCs w:val="24"/>
        </w:rPr>
      </w:pPr>
    </w:p>
    <w:p w:rsidR="009A3AFE" w:rsidRDefault="009A3AFE" w:rsidP="009A3AFE">
      <w:pPr>
        <w:rPr>
          <w:szCs w:val="24"/>
        </w:rPr>
      </w:pPr>
    </w:p>
    <w:p w:rsidR="009A3AFE" w:rsidRPr="00C31405" w:rsidRDefault="009A3AFE" w:rsidP="009A3AFE">
      <w:pPr>
        <w:rPr>
          <w:szCs w:val="24"/>
        </w:rPr>
      </w:pPr>
    </w:p>
    <w:p w:rsidR="009A3AFE" w:rsidRPr="00A81E09" w:rsidRDefault="009A3AFE" w:rsidP="009A3AFE">
      <w:pPr>
        <w:numPr>
          <w:ilvl w:val="0"/>
          <w:numId w:val="2"/>
        </w:numPr>
        <w:rPr>
          <w:szCs w:val="24"/>
        </w:rPr>
      </w:pPr>
      <w:r w:rsidRPr="00166665">
        <w:rPr>
          <w:b/>
          <w:szCs w:val="24"/>
        </w:rPr>
        <w:t>Payments to and on account of leavers</w:t>
      </w:r>
    </w:p>
    <w:p w:rsidR="009A3AFE" w:rsidRDefault="009A3AFE" w:rsidP="009A3AFE">
      <w:pPr>
        <w:rPr>
          <w:b/>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9A3AFE" w:rsidTr="009A3AFE">
        <w:tc>
          <w:tcPr>
            <w:tcW w:w="5058" w:type="dxa"/>
          </w:tcPr>
          <w:p w:rsidR="009A3AFE" w:rsidRDefault="009A3AFE" w:rsidP="009A3AFE">
            <w:pPr>
              <w:rPr>
                <w:b/>
                <w:szCs w:val="24"/>
              </w:rPr>
            </w:pPr>
          </w:p>
        </w:tc>
        <w:tc>
          <w:tcPr>
            <w:tcW w:w="1559" w:type="dxa"/>
          </w:tcPr>
          <w:p w:rsidR="009A3AFE" w:rsidRDefault="009A3AFE" w:rsidP="009A3AFE">
            <w:pPr>
              <w:jc w:val="right"/>
              <w:rPr>
                <w:b/>
                <w:szCs w:val="24"/>
              </w:rPr>
            </w:pPr>
            <w:r>
              <w:rPr>
                <w:b/>
                <w:szCs w:val="24"/>
              </w:rPr>
              <w:t>2011/12</w:t>
            </w:r>
          </w:p>
          <w:p w:rsidR="009A3AFE" w:rsidRDefault="009A3AFE" w:rsidP="009A3AFE">
            <w:pPr>
              <w:jc w:val="right"/>
              <w:rPr>
                <w:b/>
                <w:szCs w:val="24"/>
              </w:rPr>
            </w:pPr>
            <w:r>
              <w:rPr>
                <w:b/>
                <w:szCs w:val="24"/>
              </w:rPr>
              <w:t>£m</w:t>
            </w:r>
          </w:p>
        </w:tc>
        <w:tc>
          <w:tcPr>
            <w:tcW w:w="430" w:type="dxa"/>
            <w:tcBorders>
              <w:right w:val="single" w:sz="4" w:space="0" w:color="FFFFFF" w:themeColor="background1"/>
            </w:tcBorders>
          </w:tcPr>
          <w:p w:rsidR="009A3AFE" w:rsidRDefault="009A3AFE" w:rsidP="009A3AFE">
            <w:pPr>
              <w:jc w:val="right"/>
              <w:rPr>
                <w:b/>
                <w:szCs w:val="24"/>
              </w:rPr>
            </w:pPr>
          </w:p>
          <w:p w:rsidR="009A3AFE" w:rsidRDefault="009A3AFE" w:rsidP="009A3AFE">
            <w:pPr>
              <w:jc w:val="right"/>
              <w:rPr>
                <w:b/>
                <w:szCs w:val="24"/>
              </w:rPr>
            </w:pPr>
          </w:p>
        </w:tc>
        <w:tc>
          <w:tcPr>
            <w:tcW w:w="1696" w:type="dxa"/>
            <w:tcBorders>
              <w:left w:val="single" w:sz="4" w:space="0" w:color="FFFFFF" w:themeColor="background1"/>
            </w:tcBorders>
          </w:tcPr>
          <w:p w:rsidR="009A3AFE" w:rsidRDefault="009A3AFE" w:rsidP="009A3AFE">
            <w:pPr>
              <w:jc w:val="right"/>
              <w:rPr>
                <w:b/>
                <w:szCs w:val="24"/>
              </w:rPr>
            </w:pPr>
            <w:r>
              <w:rPr>
                <w:b/>
                <w:szCs w:val="24"/>
              </w:rPr>
              <w:t>2010/11</w:t>
            </w:r>
          </w:p>
          <w:p w:rsidR="009A3AFE" w:rsidRDefault="009A3AFE" w:rsidP="009A3AFE">
            <w:pPr>
              <w:jc w:val="right"/>
              <w:rPr>
                <w:b/>
                <w:szCs w:val="24"/>
              </w:rPr>
            </w:pPr>
            <w:r>
              <w:rPr>
                <w:b/>
                <w:szCs w:val="24"/>
              </w:rPr>
              <w:t>£m</w:t>
            </w:r>
          </w:p>
          <w:p w:rsidR="009A3AFE" w:rsidRDefault="009A3AFE" w:rsidP="009A3AFE">
            <w:pPr>
              <w:jc w:val="right"/>
              <w:rPr>
                <w:b/>
                <w:szCs w:val="24"/>
              </w:rPr>
            </w:pPr>
          </w:p>
        </w:tc>
      </w:tr>
      <w:tr w:rsidR="009A3AFE" w:rsidRPr="007A07AD" w:rsidTr="009A3AFE">
        <w:tc>
          <w:tcPr>
            <w:tcW w:w="5058" w:type="dxa"/>
          </w:tcPr>
          <w:p w:rsidR="009A3AFE" w:rsidRPr="007A07AD" w:rsidRDefault="009A3AFE" w:rsidP="009A3AFE">
            <w:pPr>
              <w:rPr>
                <w:szCs w:val="24"/>
              </w:rPr>
            </w:pPr>
            <w:r>
              <w:rPr>
                <w:szCs w:val="24"/>
              </w:rPr>
              <w:t>Refunds to members leaving service</w:t>
            </w:r>
          </w:p>
        </w:tc>
        <w:tc>
          <w:tcPr>
            <w:tcW w:w="1559" w:type="dxa"/>
          </w:tcPr>
          <w:p w:rsidR="009A3AFE" w:rsidRPr="007A07AD" w:rsidRDefault="009A3AFE" w:rsidP="009A3AFE">
            <w:pPr>
              <w:jc w:val="right"/>
              <w:rPr>
                <w:szCs w:val="24"/>
              </w:rPr>
            </w:pPr>
            <w:r>
              <w:rPr>
                <w:szCs w:val="24"/>
              </w:rPr>
              <w:t>0.1</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0A3FCD">
            <w:pPr>
              <w:jc w:val="right"/>
              <w:rPr>
                <w:szCs w:val="24"/>
              </w:rPr>
            </w:pPr>
            <w:r>
              <w:rPr>
                <w:szCs w:val="24"/>
              </w:rPr>
              <w:t>0.</w:t>
            </w:r>
            <w:r w:rsidR="000A3FCD">
              <w:rPr>
                <w:szCs w:val="24"/>
              </w:rPr>
              <w:t>1</w:t>
            </w:r>
          </w:p>
        </w:tc>
      </w:tr>
      <w:tr w:rsidR="009A3AFE" w:rsidRPr="007A07AD" w:rsidTr="009A3AFE">
        <w:tc>
          <w:tcPr>
            <w:tcW w:w="5058" w:type="dxa"/>
          </w:tcPr>
          <w:p w:rsidR="009A3AFE" w:rsidRDefault="009A3AFE" w:rsidP="009A3AFE">
            <w:pPr>
              <w:rPr>
                <w:szCs w:val="24"/>
              </w:rPr>
            </w:pPr>
            <w:r>
              <w:rPr>
                <w:szCs w:val="24"/>
              </w:rPr>
              <w:t>Contributions equivalent premium</w:t>
            </w:r>
          </w:p>
        </w:tc>
        <w:tc>
          <w:tcPr>
            <w:tcW w:w="1559" w:type="dxa"/>
          </w:tcPr>
          <w:p w:rsidR="009A3AFE" w:rsidRPr="007A07AD" w:rsidRDefault="009A3AFE" w:rsidP="009A3AFE">
            <w:pPr>
              <w:jc w:val="right"/>
              <w:rPr>
                <w:szCs w:val="24"/>
              </w:rPr>
            </w:pPr>
            <w:r>
              <w:rPr>
                <w:szCs w:val="24"/>
              </w:rPr>
              <w:t>(0.1)</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Default="009A3AFE" w:rsidP="000A3FCD">
            <w:pPr>
              <w:jc w:val="right"/>
              <w:rPr>
                <w:szCs w:val="24"/>
              </w:rPr>
            </w:pPr>
            <w:r>
              <w:rPr>
                <w:szCs w:val="24"/>
              </w:rPr>
              <w:t>(0.</w:t>
            </w:r>
            <w:r w:rsidR="000A3FCD">
              <w:rPr>
                <w:szCs w:val="24"/>
              </w:rPr>
              <w:t>0</w:t>
            </w:r>
            <w:r>
              <w:rPr>
                <w:szCs w:val="24"/>
              </w:rPr>
              <w:t>)</w:t>
            </w:r>
          </w:p>
        </w:tc>
      </w:tr>
      <w:tr w:rsidR="009A3AFE" w:rsidRPr="007A07AD" w:rsidTr="009A3AFE">
        <w:tc>
          <w:tcPr>
            <w:tcW w:w="5058" w:type="dxa"/>
          </w:tcPr>
          <w:p w:rsidR="009A3AFE" w:rsidRDefault="009A3AFE" w:rsidP="009A3AFE">
            <w:pPr>
              <w:rPr>
                <w:szCs w:val="24"/>
              </w:rPr>
            </w:pPr>
            <w:r>
              <w:rPr>
                <w:szCs w:val="24"/>
              </w:rPr>
              <w:t>Individual transfers to other schemes</w:t>
            </w:r>
          </w:p>
        </w:tc>
        <w:tc>
          <w:tcPr>
            <w:tcW w:w="1559" w:type="dxa"/>
            <w:tcBorders>
              <w:bottom w:val="single" w:sz="18" w:space="0" w:color="auto"/>
            </w:tcBorders>
          </w:tcPr>
          <w:p w:rsidR="009A3AFE" w:rsidRPr="007A07AD" w:rsidRDefault="009A3AFE" w:rsidP="009A3AFE">
            <w:pPr>
              <w:jc w:val="right"/>
              <w:rPr>
                <w:szCs w:val="24"/>
              </w:rPr>
            </w:pPr>
            <w:r>
              <w:rPr>
                <w:szCs w:val="24"/>
              </w:rPr>
              <w:t>13.7</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bottom w:val="single" w:sz="18" w:space="0" w:color="auto"/>
            </w:tcBorders>
          </w:tcPr>
          <w:p w:rsidR="009A3AFE" w:rsidRDefault="009A3AFE" w:rsidP="009A3AFE">
            <w:pPr>
              <w:jc w:val="right"/>
              <w:rPr>
                <w:szCs w:val="24"/>
              </w:rPr>
            </w:pPr>
            <w:r>
              <w:rPr>
                <w:szCs w:val="24"/>
              </w:rPr>
              <w:t>12.7</w:t>
            </w:r>
          </w:p>
        </w:tc>
      </w:tr>
      <w:tr w:rsidR="009A3AFE" w:rsidRPr="007A07AD" w:rsidTr="009A3AFE">
        <w:tc>
          <w:tcPr>
            <w:tcW w:w="5058" w:type="dxa"/>
          </w:tcPr>
          <w:p w:rsidR="009A3AFE" w:rsidRDefault="009A3AFE" w:rsidP="009A3AFE">
            <w:pPr>
              <w:rPr>
                <w:szCs w:val="24"/>
              </w:rPr>
            </w:pPr>
          </w:p>
        </w:tc>
        <w:tc>
          <w:tcPr>
            <w:tcW w:w="1559" w:type="dxa"/>
            <w:tcBorders>
              <w:top w:val="single" w:sz="18" w:space="0" w:color="auto"/>
              <w:bottom w:val="single" w:sz="18" w:space="0" w:color="auto"/>
            </w:tcBorders>
          </w:tcPr>
          <w:p w:rsidR="009A3AFE" w:rsidRPr="007A07AD" w:rsidRDefault="009A3AFE" w:rsidP="009A3AFE">
            <w:pPr>
              <w:jc w:val="right"/>
              <w:rPr>
                <w:szCs w:val="24"/>
              </w:rPr>
            </w:pPr>
            <w:r>
              <w:rPr>
                <w:szCs w:val="24"/>
              </w:rPr>
              <w:t>13.7</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top w:val="single" w:sz="18" w:space="0" w:color="auto"/>
              <w:left w:val="single" w:sz="4" w:space="0" w:color="FFFFFF" w:themeColor="background1"/>
              <w:bottom w:val="single" w:sz="18" w:space="0" w:color="auto"/>
            </w:tcBorders>
          </w:tcPr>
          <w:p w:rsidR="009A3AFE" w:rsidRDefault="009A3AFE" w:rsidP="009A3AFE">
            <w:pPr>
              <w:jc w:val="right"/>
              <w:rPr>
                <w:szCs w:val="24"/>
              </w:rPr>
            </w:pPr>
            <w:r>
              <w:rPr>
                <w:szCs w:val="24"/>
              </w:rPr>
              <w:t>12.8</w:t>
            </w:r>
          </w:p>
        </w:tc>
      </w:tr>
    </w:tbl>
    <w:p w:rsidR="009A3AFE" w:rsidRDefault="009A3AFE" w:rsidP="009A3AFE">
      <w:pPr>
        <w:rPr>
          <w:b/>
          <w:szCs w:val="24"/>
        </w:rPr>
      </w:pPr>
    </w:p>
    <w:p w:rsidR="009A3AFE" w:rsidRPr="00166665" w:rsidRDefault="009A3AFE" w:rsidP="009A3AFE">
      <w:pPr>
        <w:rPr>
          <w:szCs w:val="24"/>
        </w:rPr>
      </w:pPr>
    </w:p>
    <w:p w:rsidR="009A3AFE" w:rsidRPr="00DD01DF" w:rsidRDefault="009A3AFE" w:rsidP="009A3AFE">
      <w:pPr>
        <w:numPr>
          <w:ilvl w:val="0"/>
          <w:numId w:val="2"/>
        </w:numPr>
        <w:rPr>
          <w:szCs w:val="24"/>
        </w:rPr>
      </w:pPr>
      <w:r w:rsidRPr="00166665">
        <w:rPr>
          <w:b/>
          <w:szCs w:val="24"/>
        </w:rPr>
        <w:lastRenderedPageBreak/>
        <w:t>Administrative expenses</w:t>
      </w:r>
    </w:p>
    <w:p w:rsidR="009A3AFE" w:rsidRDefault="009A3AFE" w:rsidP="009A3AFE">
      <w:pPr>
        <w:rPr>
          <w:b/>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9A3AFE" w:rsidTr="009A3AFE">
        <w:tc>
          <w:tcPr>
            <w:tcW w:w="5058" w:type="dxa"/>
          </w:tcPr>
          <w:p w:rsidR="009A3AFE" w:rsidRDefault="009A3AFE" w:rsidP="009A3AFE">
            <w:pPr>
              <w:rPr>
                <w:b/>
                <w:szCs w:val="24"/>
              </w:rPr>
            </w:pPr>
          </w:p>
        </w:tc>
        <w:tc>
          <w:tcPr>
            <w:tcW w:w="1559" w:type="dxa"/>
          </w:tcPr>
          <w:p w:rsidR="009A3AFE" w:rsidRDefault="009A3AFE" w:rsidP="009A3AFE">
            <w:pPr>
              <w:jc w:val="right"/>
              <w:rPr>
                <w:b/>
                <w:szCs w:val="24"/>
              </w:rPr>
            </w:pPr>
            <w:r>
              <w:rPr>
                <w:b/>
                <w:szCs w:val="24"/>
              </w:rPr>
              <w:t>2011/12</w:t>
            </w:r>
          </w:p>
          <w:p w:rsidR="009A3AFE" w:rsidRDefault="009A3AFE" w:rsidP="009A3AFE">
            <w:pPr>
              <w:jc w:val="right"/>
              <w:rPr>
                <w:b/>
                <w:szCs w:val="24"/>
              </w:rPr>
            </w:pPr>
            <w:r>
              <w:rPr>
                <w:b/>
                <w:szCs w:val="24"/>
              </w:rPr>
              <w:t>£m</w:t>
            </w:r>
          </w:p>
        </w:tc>
        <w:tc>
          <w:tcPr>
            <w:tcW w:w="430" w:type="dxa"/>
            <w:tcBorders>
              <w:right w:val="single" w:sz="4" w:space="0" w:color="FFFFFF" w:themeColor="background1"/>
            </w:tcBorders>
          </w:tcPr>
          <w:p w:rsidR="009A3AFE" w:rsidRDefault="009A3AFE" w:rsidP="009A3AFE">
            <w:pPr>
              <w:jc w:val="right"/>
              <w:rPr>
                <w:b/>
                <w:szCs w:val="24"/>
              </w:rPr>
            </w:pPr>
          </w:p>
          <w:p w:rsidR="009A3AFE" w:rsidRDefault="009A3AFE" w:rsidP="009A3AFE">
            <w:pPr>
              <w:jc w:val="right"/>
              <w:rPr>
                <w:b/>
                <w:szCs w:val="24"/>
              </w:rPr>
            </w:pPr>
          </w:p>
        </w:tc>
        <w:tc>
          <w:tcPr>
            <w:tcW w:w="1696" w:type="dxa"/>
            <w:tcBorders>
              <w:left w:val="single" w:sz="4" w:space="0" w:color="FFFFFF" w:themeColor="background1"/>
            </w:tcBorders>
          </w:tcPr>
          <w:p w:rsidR="009A3AFE" w:rsidRDefault="009A3AFE" w:rsidP="009A3AFE">
            <w:pPr>
              <w:jc w:val="right"/>
              <w:rPr>
                <w:b/>
                <w:szCs w:val="24"/>
              </w:rPr>
            </w:pPr>
            <w:r>
              <w:rPr>
                <w:b/>
                <w:szCs w:val="24"/>
              </w:rPr>
              <w:t>2010/11</w:t>
            </w:r>
          </w:p>
          <w:p w:rsidR="009A3AFE" w:rsidRDefault="009A3AFE" w:rsidP="009A3AFE">
            <w:pPr>
              <w:jc w:val="right"/>
              <w:rPr>
                <w:b/>
                <w:szCs w:val="24"/>
              </w:rPr>
            </w:pPr>
            <w:r>
              <w:rPr>
                <w:b/>
                <w:szCs w:val="24"/>
              </w:rPr>
              <w:t>£m</w:t>
            </w:r>
          </w:p>
          <w:p w:rsidR="009A3AFE" w:rsidRDefault="009A3AFE" w:rsidP="009A3AFE">
            <w:pPr>
              <w:jc w:val="right"/>
              <w:rPr>
                <w:b/>
                <w:szCs w:val="24"/>
              </w:rPr>
            </w:pPr>
          </w:p>
        </w:tc>
      </w:tr>
      <w:tr w:rsidR="009A3AFE" w:rsidRPr="007A07AD" w:rsidTr="009A3AFE">
        <w:tc>
          <w:tcPr>
            <w:tcW w:w="5058" w:type="dxa"/>
          </w:tcPr>
          <w:p w:rsidR="009A3AFE" w:rsidRPr="007A07AD" w:rsidRDefault="009A3AFE" w:rsidP="009A3AFE">
            <w:pPr>
              <w:rPr>
                <w:szCs w:val="24"/>
              </w:rPr>
            </w:pPr>
            <w:r>
              <w:rPr>
                <w:szCs w:val="24"/>
              </w:rPr>
              <w:t>Administration and processing</w:t>
            </w:r>
          </w:p>
        </w:tc>
        <w:tc>
          <w:tcPr>
            <w:tcW w:w="1559" w:type="dxa"/>
          </w:tcPr>
          <w:p w:rsidR="009A3AFE" w:rsidRPr="007A07AD" w:rsidRDefault="009A3AFE" w:rsidP="009A3AFE">
            <w:pPr>
              <w:jc w:val="right"/>
              <w:rPr>
                <w:szCs w:val="24"/>
              </w:rPr>
            </w:pPr>
            <w:r>
              <w:rPr>
                <w:szCs w:val="24"/>
              </w:rPr>
              <w:t>3.4</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r>
              <w:rPr>
                <w:szCs w:val="24"/>
              </w:rPr>
              <w:t>3.3</w:t>
            </w:r>
          </w:p>
        </w:tc>
      </w:tr>
      <w:tr w:rsidR="009A3AFE" w:rsidRPr="007A07AD" w:rsidTr="009A3AFE">
        <w:tc>
          <w:tcPr>
            <w:tcW w:w="5058" w:type="dxa"/>
          </w:tcPr>
          <w:p w:rsidR="009A3AFE" w:rsidRDefault="009A3AFE" w:rsidP="009A3AFE">
            <w:pPr>
              <w:rPr>
                <w:szCs w:val="24"/>
              </w:rPr>
            </w:pPr>
            <w:r>
              <w:rPr>
                <w:szCs w:val="24"/>
              </w:rPr>
              <w:t>Audit fee</w:t>
            </w:r>
          </w:p>
        </w:tc>
        <w:tc>
          <w:tcPr>
            <w:tcW w:w="1559" w:type="dxa"/>
          </w:tcPr>
          <w:p w:rsidR="009A3AFE" w:rsidRPr="007A07AD" w:rsidRDefault="009A3AFE" w:rsidP="009A3AFE">
            <w:pPr>
              <w:jc w:val="right"/>
              <w:rPr>
                <w:szCs w:val="24"/>
              </w:rPr>
            </w:pPr>
            <w:r>
              <w:rPr>
                <w:szCs w:val="24"/>
              </w:rPr>
              <w:t>0.1</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Default="009A3AFE" w:rsidP="009A3AFE">
            <w:pPr>
              <w:jc w:val="right"/>
              <w:rPr>
                <w:szCs w:val="24"/>
              </w:rPr>
            </w:pPr>
            <w:r>
              <w:rPr>
                <w:szCs w:val="24"/>
              </w:rPr>
              <w:t>0.1</w:t>
            </w:r>
          </w:p>
        </w:tc>
      </w:tr>
      <w:tr w:rsidR="009A3AFE" w:rsidRPr="007A07AD" w:rsidTr="009A3AFE">
        <w:tc>
          <w:tcPr>
            <w:tcW w:w="5058" w:type="dxa"/>
          </w:tcPr>
          <w:p w:rsidR="009A3AFE" w:rsidRDefault="009A3AFE" w:rsidP="009A3AFE">
            <w:pPr>
              <w:rPr>
                <w:szCs w:val="24"/>
              </w:rPr>
            </w:pPr>
            <w:r>
              <w:rPr>
                <w:szCs w:val="24"/>
              </w:rPr>
              <w:t>Legal and other professional fees</w:t>
            </w:r>
          </w:p>
        </w:tc>
        <w:tc>
          <w:tcPr>
            <w:tcW w:w="1559" w:type="dxa"/>
            <w:tcBorders>
              <w:bottom w:val="single" w:sz="18" w:space="0" w:color="auto"/>
            </w:tcBorders>
          </w:tcPr>
          <w:p w:rsidR="009A3AFE" w:rsidRPr="007A07AD" w:rsidRDefault="009A3AFE" w:rsidP="009A3AFE">
            <w:pPr>
              <w:jc w:val="right"/>
              <w:rPr>
                <w:szCs w:val="24"/>
              </w:rPr>
            </w:pPr>
            <w:r>
              <w:rPr>
                <w:szCs w:val="24"/>
              </w:rPr>
              <w:t>0.3</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bottom w:val="single" w:sz="18" w:space="0" w:color="auto"/>
            </w:tcBorders>
          </w:tcPr>
          <w:p w:rsidR="009A3AFE" w:rsidRDefault="009A3AFE" w:rsidP="009A3AFE">
            <w:pPr>
              <w:jc w:val="right"/>
              <w:rPr>
                <w:szCs w:val="24"/>
              </w:rPr>
            </w:pPr>
            <w:r>
              <w:rPr>
                <w:szCs w:val="24"/>
              </w:rPr>
              <w:t>0.2</w:t>
            </w:r>
          </w:p>
        </w:tc>
      </w:tr>
      <w:tr w:rsidR="009A3AFE" w:rsidRPr="007A07AD" w:rsidTr="009A3AFE">
        <w:tc>
          <w:tcPr>
            <w:tcW w:w="5058" w:type="dxa"/>
          </w:tcPr>
          <w:p w:rsidR="009A3AFE" w:rsidRDefault="009A3AFE" w:rsidP="009A3AFE">
            <w:pPr>
              <w:rPr>
                <w:szCs w:val="24"/>
              </w:rPr>
            </w:pPr>
          </w:p>
        </w:tc>
        <w:tc>
          <w:tcPr>
            <w:tcW w:w="1559" w:type="dxa"/>
            <w:tcBorders>
              <w:top w:val="single" w:sz="18" w:space="0" w:color="auto"/>
              <w:bottom w:val="single" w:sz="18" w:space="0" w:color="auto"/>
            </w:tcBorders>
          </w:tcPr>
          <w:p w:rsidR="009A3AFE" w:rsidRPr="007A07AD" w:rsidRDefault="009A3AFE" w:rsidP="009A3AFE">
            <w:pPr>
              <w:jc w:val="right"/>
              <w:rPr>
                <w:szCs w:val="24"/>
              </w:rPr>
            </w:pPr>
            <w:r>
              <w:rPr>
                <w:szCs w:val="24"/>
              </w:rPr>
              <w:t>3.8</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top w:val="single" w:sz="18" w:space="0" w:color="auto"/>
              <w:left w:val="single" w:sz="4" w:space="0" w:color="FFFFFF" w:themeColor="background1"/>
              <w:bottom w:val="single" w:sz="18" w:space="0" w:color="auto"/>
            </w:tcBorders>
          </w:tcPr>
          <w:p w:rsidR="009A3AFE" w:rsidRDefault="009A3AFE" w:rsidP="009A3AFE">
            <w:pPr>
              <w:jc w:val="right"/>
              <w:rPr>
                <w:szCs w:val="24"/>
              </w:rPr>
            </w:pPr>
            <w:r>
              <w:rPr>
                <w:szCs w:val="24"/>
              </w:rPr>
              <w:t>3.6</w:t>
            </w:r>
          </w:p>
        </w:tc>
      </w:tr>
    </w:tbl>
    <w:p w:rsidR="009A3AFE" w:rsidRPr="00166665" w:rsidRDefault="009A3AFE" w:rsidP="009A3AFE">
      <w:pPr>
        <w:rPr>
          <w:szCs w:val="24"/>
        </w:rPr>
      </w:pPr>
    </w:p>
    <w:p w:rsidR="009A3AFE" w:rsidRPr="00166665" w:rsidRDefault="009A3AFE" w:rsidP="009A3AFE">
      <w:pPr>
        <w:pStyle w:val="BodyTextIndent"/>
        <w:spacing w:after="0"/>
        <w:rPr>
          <w:szCs w:val="24"/>
        </w:rPr>
      </w:pPr>
    </w:p>
    <w:p w:rsidR="009A3AFE" w:rsidRPr="00E601F3" w:rsidRDefault="009A3AFE" w:rsidP="009A3AFE">
      <w:pPr>
        <w:numPr>
          <w:ilvl w:val="0"/>
          <w:numId w:val="2"/>
        </w:numPr>
        <w:spacing w:after="120"/>
        <w:rPr>
          <w:szCs w:val="24"/>
        </w:rPr>
      </w:pPr>
      <w:r w:rsidRPr="00166665">
        <w:rPr>
          <w:b/>
          <w:szCs w:val="24"/>
        </w:rPr>
        <w:t>Investment income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9A3AFE" w:rsidTr="009A3AFE">
        <w:tc>
          <w:tcPr>
            <w:tcW w:w="5058" w:type="dxa"/>
          </w:tcPr>
          <w:p w:rsidR="009A3AFE" w:rsidRDefault="009A3AFE" w:rsidP="009A3AFE">
            <w:pPr>
              <w:rPr>
                <w:b/>
                <w:szCs w:val="24"/>
              </w:rPr>
            </w:pPr>
          </w:p>
        </w:tc>
        <w:tc>
          <w:tcPr>
            <w:tcW w:w="1559" w:type="dxa"/>
          </w:tcPr>
          <w:p w:rsidR="009A3AFE" w:rsidRDefault="009A3AFE" w:rsidP="009A3AFE">
            <w:pPr>
              <w:jc w:val="right"/>
              <w:rPr>
                <w:b/>
                <w:szCs w:val="24"/>
              </w:rPr>
            </w:pPr>
            <w:r>
              <w:rPr>
                <w:b/>
                <w:szCs w:val="24"/>
              </w:rPr>
              <w:t>2011/12</w:t>
            </w:r>
          </w:p>
          <w:p w:rsidR="009A3AFE" w:rsidRDefault="009A3AFE" w:rsidP="009A3AFE">
            <w:pPr>
              <w:jc w:val="right"/>
              <w:rPr>
                <w:b/>
                <w:szCs w:val="24"/>
              </w:rPr>
            </w:pPr>
            <w:r>
              <w:rPr>
                <w:b/>
                <w:szCs w:val="24"/>
              </w:rPr>
              <w:t>£m</w:t>
            </w:r>
          </w:p>
        </w:tc>
        <w:tc>
          <w:tcPr>
            <w:tcW w:w="430" w:type="dxa"/>
            <w:tcBorders>
              <w:right w:val="single" w:sz="4" w:space="0" w:color="FFFFFF" w:themeColor="background1"/>
            </w:tcBorders>
          </w:tcPr>
          <w:p w:rsidR="009A3AFE" w:rsidRDefault="009A3AFE" w:rsidP="009A3AFE">
            <w:pPr>
              <w:jc w:val="right"/>
              <w:rPr>
                <w:b/>
                <w:szCs w:val="24"/>
              </w:rPr>
            </w:pPr>
          </w:p>
          <w:p w:rsidR="009A3AFE" w:rsidRDefault="009A3AFE" w:rsidP="009A3AFE">
            <w:pPr>
              <w:jc w:val="right"/>
              <w:rPr>
                <w:b/>
                <w:szCs w:val="24"/>
              </w:rPr>
            </w:pPr>
          </w:p>
        </w:tc>
        <w:tc>
          <w:tcPr>
            <w:tcW w:w="1696" w:type="dxa"/>
            <w:tcBorders>
              <w:left w:val="single" w:sz="4" w:space="0" w:color="FFFFFF" w:themeColor="background1"/>
            </w:tcBorders>
          </w:tcPr>
          <w:p w:rsidR="009A3AFE" w:rsidRDefault="009A3AFE" w:rsidP="009A3AFE">
            <w:pPr>
              <w:jc w:val="right"/>
              <w:rPr>
                <w:b/>
                <w:szCs w:val="24"/>
              </w:rPr>
            </w:pPr>
            <w:r>
              <w:rPr>
                <w:b/>
                <w:szCs w:val="24"/>
              </w:rPr>
              <w:t>2010/11</w:t>
            </w:r>
          </w:p>
          <w:p w:rsidR="009A3AFE" w:rsidRDefault="009A3AFE" w:rsidP="009A3AFE">
            <w:pPr>
              <w:jc w:val="right"/>
              <w:rPr>
                <w:b/>
                <w:szCs w:val="24"/>
              </w:rPr>
            </w:pPr>
            <w:r>
              <w:rPr>
                <w:b/>
                <w:szCs w:val="24"/>
              </w:rPr>
              <w:t>£m</w:t>
            </w:r>
          </w:p>
          <w:p w:rsidR="009A3AFE" w:rsidRDefault="009A3AFE" w:rsidP="009A3AFE">
            <w:pPr>
              <w:jc w:val="right"/>
              <w:rPr>
                <w:b/>
                <w:szCs w:val="24"/>
              </w:rPr>
            </w:pPr>
          </w:p>
        </w:tc>
      </w:tr>
      <w:tr w:rsidR="009A3AFE" w:rsidRPr="007A07AD" w:rsidTr="009A3AFE">
        <w:tc>
          <w:tcPr>
            <w:tcW w:w="5058" w:type="dxa"/>
          </w:tcPr>
          <w:p w:rsidR="009A3AFE" w:rsidRPr="007A07AD" w:rsidRDefault="009A3AFE" w:rsidP="009A3AFE">
            <w:pPr>
              <w:rPr>
                <w:szCs w:val="24"/>
              </w:rPr>
            </w:pPr>
            <w:r>
              <w:rPr>
                <w:szCs w:val="24"/>
              </w:rPr>
              <w:t>Fixed interest securities</w:t>
            </w:r>
          </w:p>
        </w:tc>
        <w:tc>
          <w:tcPr>
            <w:tcW w:w="1559" w:type="dxa"/>
          </w:tcPr>
          <w:p w:rsidR="009A3AFE" w:rsidRPr="007A07AD" w:rsidRDefault="009A3AFE" w:rsidP="009A3AFE">
            <w:pPr>
              <w:jc w:val="right"/>
              <w:rPr>
                <w:szCs w:val="24"/>
              </w:rPr>
            </w:pPr>
            <w:r>
              <w:rPr>
                <w:szCs w:val="24"/>
              </w:rPr>
              <w:t>27.7</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r>
              <w:rPr>
                <w:szCs w:val="24"/>
              </w:rPr>
              <w:t>23.9</w:t>
            </w:r>
          </w:p>
        </w:tc>
      </w:tr>
      <w:tr w:rsidR="009A3AFE" w:rsidRPr="007A07AD" w:rsidTr="009A3AFE">
        <w:tc>
          <w:tcPr>
            <w:tcW w:w="5058" w:type="dxa"/>
          </w:tcPr>
          <w:p w:rsidR="009A3AFE" w:rsidRDefault="009A3AFE" w:rsidP="009A3AFE">
            <w:pPr>
              <w:rPr>
                <w:szCs w:val="24"/>
              </w:rPr>
            </w:pPr>
            <w:r>
              <w:rPr>
                <w:szCs w:val="24"/>
              </w:rPr>
              <w:t>Equity dividends</w:t>
            </w:r>
          </w:p>
        </w:tc>
        <w:tc>
          <w:tcPr>
            <w:tcW w:w="1559" w:type="dxa"/>
          </w:tcPr>
          <w:p w:rsidR="009A3AFE" w:rsidRPr="007A07AD" w:rsidRDefault="009A3AFE" w:rsidP="009A3AFE">
            <w:pPr>
              <w:jc w:val="right"/>
              <w:rPr>
                <w:szCs w:val="24"/>
              </w:rPr>
            </w:pPr>
            <w:r>
              <w:rPr>
                <w:szCs w:val="24"/>
              </w:rPr>
              <w:t>46.5</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Default="009A3AFE" w:rsidP="009A3AFE">
            <w:pPr>
              <w:jc w:val="right"/>
              <w:rPr>
                <w:szCs w:val="24"/>
              </w:rPr>
            </w:pPr>
            <w:r>
              <w:rPr>
                <w:szCs w:val="24"/>
              </w:rPr>
              <w:t>29.6</w:t>
            </w:r>
          </w:p>
        </w:tc>
      </w:tr>
      <w:tr w:rsidR="009A3AFE" w:rsidRPr="007A07AD" w:rsidTr="009A3AFE">
        <w:tc>
          <w:tcPr>
            <w:tcW w:w="5058" w:type="dxa"/>
          </w:tcPr>
          <w:p w:rsidR="009A3AFE" w:rsidRDefault="009A3AFE" w:rsidP="009A3AFE">
            <w:pPr>
              <w:rPr>
                <w:szCs w:val="24"/>
              </w:rPr>
            </w:pPr>
            <w:r>
              <w:rPr>
                <w:szCs w:val="24"/>
              </w:rPr>
              <w:t>Index linked securities</w:t>
            </w:r>
          </w:p>
        </w:tc>
        <w:tc>
          <w:tcPr>
            <w:tcW w:w="1559" w:type="dxa"/>
          </w:tcPr>
          <w:p w:rsidR="009A3AFE" w:rsidRPr="007A07AD" w:rsidRDefault="009A3AFE" w:rsidP="009A3AFE">
            <w:pPr>
              <w:jc w:val="right"/>
              <w:rPr>
                <w:szCs w:val="24"/>
              </w:rPr>
            </w:pPr>
            <w:r>
              <w:rPr>
                <w:szCs w:val="24"/>
              </w:rPr>
              <w:t>2.8</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Default="009A3AFE" w:rsidP="009A3AFE">
            <w:pPr>
              <w:jc w:val="right"/>
              <w:rPr>
                <w:szCs w:val="24"/>
              </w:rPr>
            </w:pPr>
            <w:r>
              <w:rPr>
                <w:szCs w:val="24"/>
              </w:rPr>
              <w:t>4.6</w:t>
            </w:r>
          </w:p>
        </w:tc>
      </w:tr>
      <w:tr w:rsidR="009A3AFE" w:rsidRPr="007A07AD" w:rsidTr="009A3AFE">
        <w:tc>
          <w:tcPr>
            <w:tcW w:w="5058" w:type="dxa"/>
          </w:tcPr>
          <w:p w:rsidR="009A3AFE" w:rsidRDefault="009A3AFE" w:rsidP="009A3AFE">
            <w:pPr>
              <w:rPr>
                <w:szCs w:val="24"/>
              </w:rPr>
            </w:pPr>
            <w:r>
              <w:rPr>
                <w:szCs w:val="24"/>
              </w:rPr>
              <w:t>Pooled investment vehicles</w:t>
            </w:r>
          </w:p>
        </w:tc>
        <w:tc>
          <w:tcPr>
            <w:tcW w:w="1559" w:type="dxa"/>
          </w:tcPr>
          <w:p w:rsidR="009A3AFE" w:rsidRPr="007A07AD" w:rsidRDefault="009A3AFE" w:rsidP="009A3AFE">
            <w:pPr>
              <w:jc w:val="right"/>
              <w:rPr>
                <w:szCs w:val="24"/>
              </w:rPr>
            </w:pPr>
            <w:r>
              <w:rPr>
                <w:szCs w:val="24"/>
              </w:rPr>
              <w:t>5.5</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Default="009A3AFE" w:rsidP="009A3AFE">
            <w:pPr>
              <w:jc w:val="right"/>
              <w:rPr>
                <w:szCs w:val="24"/>
              </w:rPr>
            </w:pPr>
            <w:r>
              <w:rPr>
                <w:szCs w:val="24"/>
              </w:rPr>
              <w:t>0.9</w:t>
            </w:r>
          </w:p>
        </w:tc>
      </w:tr>
      <w:tr w:rsidR="009A3AFE" w:rsidRPr="007A07AD" w:rsidTr="009A3AFE">
        <w:tc>
          <w:tcPr>
            <w:tcW w:w="5058" w:type="dxa"/>
          </w:tcPr>
          <w:p w:rsidR="009A3AFE" w:rsidRDefault="009A3AFE" w:rsidP="009A3AFE">
            <w:pPr>
              <w:rPr>
                <w:szCs w:val="24"/>
              </w:rPr>
            </w:pPr>
            <w:r>
              <w:rPr>
                <w:szCs w:val="24"/>
              </w:rPr>
              <w:t>Rents from properties</w:t>
            </w:r>
          </w:p>
        </w:tc>
        <w:tc>
          <w:tcPr>
            <w:tcW w:w="1559" w:type="dxa"/>
          </w:tcPr>
          <w:p w:rsidR="009A3AFE" w:rsidRPr="007A07AD" w:rsidRDefault="009A3AFE" w:rsidP="009A3AFE">
            <w:pPr>
              <w:jc w:val="right"/>
              <w:rPr>
                <w:szCs w:val="24"/>
              </w:rPr>
            </w:pPr>
            <w:r>
              <w:rPr>
                <w:szCs w:val="24"/>
              </w:rPr>
              <w:t>26.0</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Default="009A3AFE" w:rsidP="009A3AFE">
            <w:pPr>
              <w:jc w:val="right"/>
              <w:rPr>
                <w:szCs w:val="24"/>
              </w:rPr>
            </w:pPr>
            <w:r>
              <w:rPr>
                <w:szCs w:val="24"/>
              </w:rPr>
              <w:t>23.3</w:t>
            </w:r>
          </w:p>
        </w:tc>
      </w:tr>
      <w:tr w:rsidR="009A3AFE" w:rsidRPr="007A07AD" w:rsidTr="009A3AFE">
        <w:tc>
          <w:tcPr>
            <w:tcW w:w="5058" w:type="dxa"/>
          </w:tcPr>
          <w:p w:rsidR="009A3AFE" w:rsidRDefault="009A3AFE" w:rsidP="009A3AFE">
            <w:pPr>
              <w:rPr>
                <w:szCs w:val="24"/>
              </w:rPr>
            </w:pPr>
            <w:r>
              <w:rPr>
                <w:szCs w:val="24"/>
              </w:rPr>
              <w:t>Interest on cash deposits</w:t>
            </w:r>
          </w:p>
        </w:tc>
        <w:tc>
          <w:tcPr>
            <w:tcW w:w="1559" w:type="dxa"/>
          </w:tcPr>
          <w:p w:rsidR="009A3AFE" w:rsidRPr="007A07AD" w:rsidRDefault="009A3AFE" w:rsidP="009A3AFE">
            <w:pPr>
              <w:jc w:val="right"/>
              <w:rPr>
                <w:szCs w:val="24"/>
              </w:rPr>
            </w:pPr>
            <w:r>
              <w:rPr>
                <w:szCs w:val="24"/>
              </w:rPr>
              <w:t>0.7</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Default="009A3AFE" w:rsidP="009A3AFE">
            <w:pPr>
              <w:jc w:val="right"/>
              <w:rPr>
                <w:szCs w:val="24"/>
              </w:rPr>
            </w:pPr>
            <w:r>
              <w:rPr>
                <w:szCs w:val="24"/>
              </w:rPr>
              <w:t>1.5</w:t>
            </w:r>
          </w:p>
        </w:tc>
      </w:tr>
      <w:tr w:rsidR="009A3AFE" w:rsidRPr="007A07AD" w:rsidTr="009A3AFE">
        <w:tc>
          <w:tcPr>
            <w:tcW w:w="5058" w:type="dxa"/>
          </w:tcPr>
          <w:p w:rsidR="009A3AFE" w:rsidRDefault="009A3AFE" w:rsidP="009A3AFE">
            <w:pPr>
              <w:rPr>
                <w:szCs w:val="24"/>
              </w:rPr>
            </w:pPr>
            <w:r>
              <w:rPr>
                <w:szCs w:val="24"/>
              </w:rPr>
              <w:t>Other</w:t>
            </w:r>
          </w:p>
        </w:tc>
        <w:tc>
          <w:tcPr>
            <w:tcW w:w="1559" w:type="dxa"/>
            <w:tcBorders>
              <w:bottom w:val="single" w:sz="18" w:space="0" w:color="auto"/>
            </w:tcBorders>
          </w:tcPr>
          <w:p w:rsidR="009A3AFE" w:rsidRPr="007A07AD" w:rsidRDefault="009A3AFE" w:rsidP="009A3AFE">
            <w:pPr>
              <w:jc w:val="right"/>
              <w:rPr>
                <w:szCs w:val="24"/>
              </w:rPr>
            </w:pPr>
            <w:r>
              <w:rPr>
                <w:szCs w:val="24"/>
              </w:rPr>
              <w:t>9.6</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bottom w:val="single" w:sz="18" w:space="0" w:color="auto"/>
            </w:tcBorders>
          </w:tcPr>
          <w:p w:rsidR="009A3AFE" w:rsidRDefault="009A3AFE" w:rsidP="009A3AFE">
            <w:pPr>
              <w:jc w:val="right"/>
              <w:rPr>
                <w:szCs w:val="24"/>
              </w:rPr>
            </w:pPr>
            <w:r>
              <w:rPr>
                <w:szCs w:val="24"/>
              </w:rPr>
              <w:t>5.5</w:t>
            </w:r>
          </w:p>
        </w:tc>
      </w:tr>
      <w:tr w:rsidR="009A3AFE" w:rsidRPr="007A07AD" w:rsidTr="009A3AFE">
        <w:tc>
          <w:tcPr>
            <w:tcW w:w="5058" w:type="dxa"/>
          </w:tcPr>
          <w:p w:rsidR="009A3AFE" w:rsidRDefault="009A3AFE" w:rsidP="009A3AFE">
            <w:pPr>
              <w:rPr>
                <w:szCs w:val="24"/>
              </w:rPr>
            </w:pPr>
          </w:p>
        </w:tc>
        <w:tc>
          <w:tcPr>
            <w:tcW w:w="1559" w:type="dxa"/>
            <w:tcBorders>
              <w:top w:val="single" w:sz="18" w:space="0" w:color="auto"/>
              <w:bottom w:val="single" w:sz="18" w:space="0" w:color="auto"/>
            </w:tcBorders>
          </w:tcPr>
          <w:p w:rsidR="009A3AFE" w:rsidRPr="007A07AD" w:rsidRDefault="009A3AFE" w:rsidP="009A3AFE">
            <w:pPr>
              <w:jc w:val="right"/>
              <w:rPr>
                <w:szCs w:val="24"/>
              </w:rPr>
            </w:pPr>
            <w:r>
              <w:rPr>
                <w:szCs w:val="24"/>
              </w:rPr>
              <w:t>118.8</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top w:val="single" w:sz="18" w:space="0" w:color="auto"/>
              <w:left w:val="single" w:sz="4" w:space="0" w:color="FFFFFF" w:themeColor="background1"/>
              <w:bottom w:val="single" w:sz="18" w:space="0" w:color="auto"/>
            </w:tcBorders>
          </w:tcPr>
          <w:p w:rsidR="009A3AFE" w:rsidRDefault="009A3AFE" w:rsidP="009A3AFE">
            <w:pPr>
              <w:jc w:val="right"/>
              <w:rPr>
                <w:szCs w:val="24"/>
              </w:rPr>
            </w:pPr>
            <w:r>
              <w:rPr>
                <w:szCs w:val="24"/>
              </w:rPr>
              <w:t>89.3</w:t>
            </w:r>
          </w:p>
        </w:tc>
      </w:tr>
    </w:tbl>
    <w:p w:rsidR="009A3AFE" w:rsidRDefault="009A3AFE" w:rsidP="009A3AFE">
      <w:pPr>
        <w:spacing w:after="120"/>
        <w:rPr>
          <w:szCs w:val="24"/>
        </w:rPr>
      </w:pPr>
    </w:p>
    <w:p w:rsidR="00F332F8" w:rsidRDefault="00F332F8" w:rsidP="009A3AFE">
      <w:pPr>
        <w:spacing w:after="120"/>
        <w:rPr>
          <w:szCs w:val="24"/>
        </w:rPr>
      </w:pPr>
    </w:p>
    <w:p w:rsidR="00F332F8" w:rsidRPr="00166665" w:rsidRDefault="00F332F8" w:rsidP="009A3AFE">
      <w:pPr>
        <w:spacing w:after="120"/>
        <w:rPr>
          <w:szCs w:val="24"/>
        </w:rPr>
      </w:pPr>
    </w:p>
    <w:p w:rsidR="009A3AFE" w:rsidRDefault="009A3AFE" w:rsidP="009A3AFE">
      <w:pPr>
        <w:pStyle w:val="BodyTextIndent"/>
        <w:numPr>
          <w:ilvl w:val="0"/>
          <w:numId w:val="2"/>
        </w:numPr>
        <w:tabs>
          <w:tab w:val="clear" w:pos="1080"/>
        </w:tabs>
        <w:spacing w:after="0"/>
        <w:rPr>
          <w:b/>
          <w:szCs w:val="24"/>
        </w:rPr>
      </w:pPr>
      <w:r w:rsidRPr="00782127">
        <w:rPr>
          <w:b/>
          <w:szCs w:val="24"/>
        </w:rPr>
        <w:t>Net rents from Properties</w:t>
      </w:r>
    </w:p>
    <w:p w:rsidR="009A3AFE" w:rsidRDefault="009A3AFE" w:rsidP="009A3AFE">
      <w:pPr>
        <w:pStyle w:val="BodyTextIndent"/>
        <w:tabs>
          <w:tab w:val="clear" w:pos="1080"/>
        </w:tabs>
        <w:spacing w:after="0"/>
        <w:rPr>
          <w:b/>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9A3AFE" w:rsidTr="009A3AFE">
        <w:tc>
          <w:tcPr>
            <w:tcW w:w="5058" w:type="dxa"/>
          </w:tcPr>
          <w:p w:rsidR="009A3AFE" w:rsidRDefault="009A3AFE" w:rsidP="009A3AFE">
            <w:pPr>
              <w:rPr>
                <w:b/>
                <w:szCs w:val="24"/>
              </w:rPr>
            </w:pPr>
          </w:p>
        </w:tc>
        <w:tc>
          <w:tcPr>
            <w:tcW w:w="1559" w:type="dxa"/>
          </w:tcPr>
          <w:p w:rsidR="009A3AFE" w:rsidRDefault="009A3AFE" w:rsidP="009A3AFE">
            <w:pPr>
              <w:jc w:val="right"/>
              <w:rPr>
                <w:b/>
                <w:szCs w:val="24"/>
              </w:rPr>
            </w:pPr>
            <w:r>
              <w:rPr>
                <w:b/>
                <w:szCs w:val="24"/>
              </w:rPr>
              <w:t>2011/12</w:t>
            </w:r>
          </w:p>
          <w:p w:rsidR="009A3AFE" w:rsidRDefault="009A3AFE" w:rsidP="009A3AFE">
            <w:pPr>
              <w:jc w:val="right"/>
              <w:rPr>
                <w:b/>
                <w:szCs w:val="24"/>
              </w:rPr>
            </w:pPr>
            <w:r>
              <w:rPr>
                <w:b/>
                <w:szCs w:val="24"/>
              </w:rPr>
              <w:t>£m</w:t>
            </w:r>
          </w:p>
        </w:tc>
        <w:tc>
          <w:tcPr>
            <w:tcW w:w="430" w:type="dxa"/>
            <w:tcBorders>
              <w:right w:val="single" w:sz="4" w:space="0" w:color="FFFFFF" w:themeColor="background1"/>
            </w:tcBorders>
          </w:tcPr>
          <w:p w:rsidR="009A3AFE" w:rsidRDefault="009A3AFE" w:rsidP="009A3AFE">
            <w:pPr>
              <w:jc w:val="right"/>
              <w:rPr>
                <w:b/>
                <w:szCs w:val="24"/>
              </w:rPr>
            </w:pPr>
          </w:p>
          <w:p w:rsidR="009A3AFE" w:rsidRDefault="009A3AFE" w:rsidP="009A3AFE">
            <w:pPr>
              <w:jc w:val="right"/>
              <w:rPr>
                <w:b/>
                <w:szCs w:val="24"/>
              </w:rPr>
            </w:pPr>
          </w:p>
        </w:tc>
        <w:tc>
          <w:tcPr>
            <w:tcW w:w="1696" w:type="dxa"/>
            <w:tcBorders>
              <w:left w:val="single" w:sz="4" w:space="0" w:color="FFFFFF" w:themeColor="background1"/>
            </w:tcBorders>
          </w:tcPr>
          <w:p w:rsidR="009A3AFE" w:rsidRDefault="009A3AFE" w:rsidP="009A3AFE">
            <w:pPr>
              <w:jc w:val="right"/>
              <w:rPr>
                <w:b/>
                <w:szCs w:val="24"/>
              </w:rPr>
            </w:pPr>
            <w:r>
              <w:rPr>
                <w:b/>
                <w:szCs w:val="24"/>
              </w:rPr>
              <w:t>2010/11</w:t>
            </w:r>
          </w:p>
          <w:p w:rsidR="009A3AFE" w:rsidRDefault="009A3AFE" w:rsidP="009A3AFE">
            <w:pPr>
              <w:jc w:val="right"/>
              <w:rPr>
                <w:b/>
                <w:szCs w:val="24"/>
              </w:rPr>
            </w:pPr>
            <w:r>
              <w:rPr>
                <w:b/>
                <w:szCs w:val="24"/>
              </w:rPr>
              <w:t>£m</w:t>
            </w:r>
          </w:p>
          <w:p w:rsidR="009A3AFE" w:rsidRDefault="009A3AFE" w:rsidP="009A3AFE">
            <w:pPr>
              <w:jc w:val="right"/>
              <w:rPr>
                <w:b/>
                <w:szCs w:val="24"/>
              </w:rPr>
            </w:pPr>
          </w:p>
        </w:tc>
      </w:tr>
      <w:tr w:rsidR="009A3AFE" w:rsidRPr="007A07AD" w:rsidTr="009A3AFE">
        <w:tc>
          <w:tcPr>
            <w:tcW w:w="5058" w:type="dxa"/>
          </w:tcPr>
          <w:p w:rsidR="009A3AFE" w:rsidRPr="007A07AD" w:rsidRDefault="009A3AFE" w:rsidP="009A3AFE">
            <w:pPr>
              <w:rPr>
                <w:szCs w:val="24"/>
              </w:rPr>
            </w:pPr>
            <w:r>
              <w:rPr>
                <w:szCs w:val="24"/>
              </w:rPr>
              <w:t>Rental Income</w:t>
            </w:r>
          </w:p>
        </w:tc>
        <w:tc>
          <w:tcPr>
            <w:tcW w:w="1559" w:type="dxa"/>
          </w:tcPr>
          <w:p w:rsidR="009A3AFE" w:rsidRPr="007A07AD" w:rsidRDefault="009A3AFE" w:rsidP="009A3AFE">
            <w:pPr>
              <w:jc w:val="right"/>
              <w:rPr>
                <w:szCs w:val="24"/>
              </w:rPr>
            </w:pPr>
            <w:r>
              <w:rPr>
                <w:szCs w:val="24"/>
              </w:rPr>
              <w:t>26.0</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r>
              <w:rPr>
                <w:szCs w:val="24"/>
              </w:rPr>
              <w:t>23.3</w:t>
            </w:r>
          </w:p>
        </w:tc>
      </w:tr>
      <w:tr w:rsidR="009A3AFE" w:rsidRPr="007A07AD" w:rsidTr="009A3AFE">
        <w:tc>
          <w:tcPr>
            <w:tcW w:w="5058" w:type="dxa"/>
          </w:tcPr>
          <w:p w:rsidR="009A3AFE" w:rsidRDefault="009A3AFE" w:rsidP="009A3AFE">
            <w:pPr>
              <w:rPr>
                <w:szCs w:val="24"/>
              </w:rPr>
            </w:pPr>
            <w:r>
              <w:rPr>
                <w:szCs w:val="24"/>
              </w:rPr>
              <w:t>Direct operating expenses</w:t>
            </w:r>
          </w:p>
        </w:tc>
        <w:tc>
          <w:tcPr>
            <w:tcW w:w="1559" w:type="dxa"/>
            <w:tcBorders>
              <w:bottom w:val="single" w:sz="18" w:space="0" w:color="auto"/>
            </w:tcBorders>
          </w:tcPr>
          <w:p w:rsidR="009A3AFE" w:rsidRPr="007A07AD" w:rsidRDefault="009A3AFE" w:rsidP="009A3AFE">
            <w:pPr>
              <w:jc w:val="right"/>
              <w:rPr>
                <w:szCs w:val="24"/>
              </w:rPr>
            </w:pPr>
            <w:r>
              <w:rPr>
                <w:szCs w:val="24"/>
              </w:rPr>
              <w:t>(1.2)</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bottom w:val="single" w:sz="18" w:space="0" w:color="auto"/>
            </w:tcBorders>
          </w:tcPr>
          <w:p w:rsidR="009A3AFE" w:rsidRPr="007A07AD" w:rsidRDefault="009A3AFE" w:rsidP="009A3AFE">
            <w:pPr>
              <w:jc w:val="right"/>
              <w:rPr>
                <w:szCs w:val="24"/>
              </w:rPr>
            </w:pPr>
            <w:r>
              <w:rPr>
                <w:szCs w:val="24"/>
              </w:rPr>
              <w:t>(1.6)</w:t>
            </w:r>
          </w:p>
        </w:tc>
      </w:tr>
      <w:tr w:rsidR="009A3AFE" w:rsidRPr="007A07AD" w:rsidTr="009A3AFE">
        <w:tc>
          <w:tcPr>
            <w:tcW w:w="5058" w:type="dxa"/>
          </w:tcPr>
          <w:p w:rsidR="009A3AFE" w:rsidRDefault="009A3AFE" w:rsidP="009A3AFE">
            <w:pPr>
              <w:rPr>
                <w:szCs w:val="24"/>
              </w:rPr>
            </w:pPr>
            <w:r>
              <w:rPr>
                <w:szCs w:val="24"/>
              </w:rPr>
              <w:t>Net gain/loss</w:t>
            </w:r>
          </w:p>
        </w:tc>
        <w:tc>
          <w:tcPr>
            <w:tcW w:w="1559" w:type="dxa"/>
            <w:tcBorders>
              <w:top w:val="single" w:sz="18" w:space="0" w:color="auto"/>
              <w:bottom w:val="single" w:sz="18" w:space="0" w:color="auto"/>
            </w:tcBorders>
          </w:tcPr>
          <w:p w:rsidR="009A3AFE" w:rsidRPr="007A07AD" w:rsidRDefault="009A3AFE" w:rsidP="009A3AFE">
            <w:pPr>
              <w:jc w:val="right"/>
              <w:rPr>
                <w:szCs w:val="24"/>
              </w:rPr>
            </w:pPr>
            <w:r>
              <w:rPr>
                <w:szCs w:val="24"/>
              </w:rPr>
              <w:t>24.8</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top w:val="single" w:sz="18" w:space="0" w:color="auto"/>
              <w:left w:val="single" w:sz="4" w:space="0" w:color="FFFFFF" w:themeColor="background1"/>
              <w:bottom w:val="single" w:sz="18" w:space="0" w:color="auto"/>
            </w:tcBorders>
          </w:tcPr>
          <w:p w:rsidR="009A3AFE" w:rsidRPr="007A07AD" w:rsidRDefault="009A3AFE" w:rsidP="009A3AFE">
            <w:pPr>
              <w:jc w:val="right"/>
              <w:rPr>
                <w:szCs w:val="24"/>
              </w:rPr>
            </w:pPr>
            <w:r>
              <w:rPr>
                <w:szCs w:val="24"/>
              </w:rPr>
              <w:t>21.7</w:t>
            </w:r>
          </w:p>
        </w:tc>
      </w:tr>
    </w:tbl>
    <w:p w:rsidR="009A3AFE" w:rsidRPr="00782127" w:rsidRDefault="009A3AFE" w:rsidP="009A3AFE">
      <w:pPr>
        <w:pStyle w:val="BodyTextIndent"/>
        <w:tabs>
          <w:tab w:val="clear" w:pos="1080"/>
        </w:tabs>
        <w:spacing w:after="0"/>
        <w:rPr>
          <w:b/>
          <w:szCs w:val="24"/>
        </w:rPr>
      </w:pPr>
    </w:p>
    <w:p w:rsidR="009A3AFE" w:rsidRDefault="009A3AFE" w:rsidP="009A3AFE">
      <w:pPr>
        <w:rPr>
          <w:szCs w:val="24"/>
        </w:rPr>
      </w:pPr>
    </w:p>
    <w:p w:rsidR="009A3AFE" w:rsidRDefault="009A3AFE" w:rsidP="009A3AFE">
      <w:pPr>
        <w:numPr>
          <w:ilvl w:val="0"/>
          <w:numId w:val="2"/>
        </w:numPr>
        <w:spacing w:after="240"/>
        <w:rPr>
          <w:szCs w:val="24"/>
        </w:rPr>
      </w:pPr>
      <w:r w:rsidRPr="000120DD">
        <w:rPr>
          <w:b/>
          <w:szCs w:val="24"/>
        </w:rPr>
        <w:t>Stock Lending</w:t>
      </w:r>
    </w:p>
    <w:p w:rsidR="009A3AFE" w:rsidRPr="000E3E54" w:rsidRDefault="009A3AFE" w:rsidP="009A3AFE">
      <w:pPr>
        <w:pStyle w:val="BodyTextIndent"/>
        <w:ind w:left="709"/>
        <w:rPr>
          <w:szCs w:val="24"/>
        </w:rPr>
      </w:pPr>
      <w:r w:rsidRPr="00B6433E">
        <w:rPr>
          <w:szCs w:val="24"/>
        </w:rPr>
        <w:t>Northern Trust is authorised to release stock to a third party under stock lending arrangements up to the statutory limits for this activity.  Stock lending income generated in 2011/12 was £467,745 (2010/11 £178,513)</w:t>
      </w:r>
    </w:p>
    <w:p w:rsidR="009A3AFE" w:rsidRPr="00B6433E" w:rsidRDefault="009A3AFE" w:rsidP="009A3AFE">
      <w:pPr>
        <w:pStyle w:val="BodyTextIndent"/>
        <w:ind w:left="709"/>
        <w:rPr>
          <w:szCs w:val="24"/>
        </w:rPr>
      </w:pPr>
      <w:r w:rsidRPr="00B6433E">
        <w:rPr>
          <w:szCs w:val="24"/>
        </w:rPr>
        <w:t>Securities on loan at the 31</w:t>
      </w:r>
      <w:r w:rsidRPr="00B6433E">
        <w:rPr>
          <w:szCs w:val="24"/>
          <w:vertAlign w:val="superscript"/>
        </w:rPr>
        <w:t>st</w:t>
      </w:r>
      <w:r w:rsidRPr="00B6433E">
        <w:rPr>
          <w:szCs w:val="24"/>
        </w:rPr>
        <w:t xml:space="preserve"> March 2012 were £</w:t>
      </w:r>
      <w:r w:rsidR="000A3FCD">
        <w:rPr>
          <w:szCs w:val="24"/>
        </w:rPr>
        <w:t>26</w:t>
      </w:r>
      <w:r w:rsidRPr="00B6433E">
        <w:rPr>
          <w:szCs w:val="24"/>
        </w:rPr>
        <w:t>3m and are included in the net asset statement to reflect the scheme's continuing economic interest in the securities.  This consisted of £</w:t>
      </w:r>
      <w:r w:rsidR="000A3FCD">
        <w:rPr>
          <w:szCs w:val="24"/>
        </w:rPr>
        <w:t>67</w:t>
      </w:r>
      <w:r w:rsidRPr="00B6433E">
        <w:rPr>
          <w:szCs w:val="24"/>
        </w:rPr>
        <w:t>m of equities and £1</w:t>
      </w:r>
      <w:r w:rsidR="000A3FCD">
        <w:rPr>
          <w:szCs w:val="24"/>
        </w:rPr>
        <w:t>96</w:t>
      </w:r>
      <w:r w:rsidRPr="00B6433E">
        <w:rPr>
          <w:szCs w:val="24"/>
        </w:rPr>
        <w:t>m of bonds.</w:t>
      </w:r>
    </w:p>
    <w:p w:rsidR="009A3AFE" w:rsidRDefault="009A3AFE" w:rsidP="009A3AFE">
      <w:pPr>
        <w:pStyle w:val="BodyTextIndent"/>
        <w:ind w:left="709"/>
        <w:rPr>
          <w:szCs w:val="24"/>
        </w:rPr>
      </w:pPr>
      <w:r w:rsidRPr="00B6433E">
        <w:rPr>
          <w:szCs w:val="24"/>
        </w:rPr>
        <w:t>Collateral is marked to market, and adjusted daily. As the Fund has no obligation to return the collateral to the borrowers, collateral is excluded from the Fund valuation. The collateral is non cash and totalled £276m comprising all of government bonds.</w:t>
      </w:r>
    </w:p>
    <w:p w:rsidR="009A3AFE" w:rsidRDefault="009A3AFE" w:rsidP="009A3AFE">
      <w:pPr>
        <w:pStyle w:val="BodyTextIndent"/>
        <w:ind w:left="709"/>
        <w:rPr>
          <w:szCs w:val="24"/>
        </w:rPr>
      </w:pPr>
    </w:p>
    <w:p w:rsidR="00F332F8" w:rsidRDefault="00F332F8" w:rsidP="009A3AFE">
      <w:pPr>
        <w:pStyle w:val="BodyTextIndent"/>
        <w:ind w:left="709"/>
        <w:rPr>
          <w:szCs w:val="24"/>
        </w:rPr>
      </w:pPr>
    </w:p>
    <w:p w:rsidR="009A3AFE" w:rsidRPr="009D3DE3" w:rsidRDefault="009A3AFE" w:rsidP="009A3AFE">
      <w:pPr>
        <w:pStyle w:val="ListParagraph"/>
        <w:numPr>
          <w:ilvl w:val="0"/>
          <w:numId w:val="2"/>
        </w:numPr>
        <w:spacing w:after="120"/>
        <w:rPr>
          <w:b/>
        </w:rPr>
      </w:pPr>
      <w:r w:rsidRPr="009D3DE3">
        <w:rPr>
          <w:b/>
        </w:rPr>
        <w:t>Reconciliation of movements in investments and derivatives</w:t>
      </w:r>
    </w:p>
    <w:tbl>
      <w:tblPr>
        <w:tblStyle w:val="TableGrid"/>
        <w:tblW w:w="11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26"/>
        <w:gridCol w:w="518"/>
        <w:gridCol w:w="1029"/>
        <w:gridCol w:w="471"/>
        <w:gridCol w:w="1103"/>
        <w:gridCol w:w="131"/>
        <w:gridCol w:w="995"/>
        <w:gridCol w:w="714"/>
        <w:gridCol w:w="885"/>
        <w:gridCol w:w="708"/>
        <w:gridCol w:w="142"/>
        <w:gridCol w:w="841"/>
        <w:gridCol w:w="853"/>
      </w:tblGrid>
      <w:tr w:rsidR="009A3AFE" w:rsidRPr="008B5FD4" w:rsidTr="005D1391">
        <w:tc>
          <w:tcPr>
            <w:tcW w:w="2626" w:type="dxa"/>
          </w:tcPr>
          <w:p w:rsidR="009A3AFE" w:rsidRPr="008B5FD4" w:rsidRDefault="009A3AFE" w:rsidP="009A3AFE">
            <w:pPr>
              <w:rPr>
                <w:b/>
                <w:sz w:val="20"/>
              </w:rPr>
            </w:pPr>
          </w:p>
        </w:tc>
        <w:tc>
          <w:tcPr>
            <w:tcW w:w="1547" w:type="dxa"/>
            <w:gridSpan w:val="2"/>
          </w:tcPr>
          <w:p w:rsidR="009A3AFE" w:rsidRPr="008B5FD4" w:rsidRDefault="009A3AFE" w:rsidP="009A3AFE">
            <w:pPr>
              <w:jc w:val="right"/>
              <w:rPr>
                <w:b/>
                <w:sz w:val="20"/>
              </w:rPr>
            </w:pPr>
            <w:r w:rsidRPr="008B5FD4">
              <w:rPr>
                <w:b/>
                <w:sz w:val="20"/>
              </w:rPr>
              <w:t>Market Value at 1 April 2011</w:t>
            </w:r>
          </w:p>
        </w:tc>
        <w:tc>
          <w:tcPr>
            <w:tcW w:w="1705" w:type="dxa"/>
            <w:gridSpan w:val="3"/>
          </w:tcPr>
          <w:p w:rsidR="009A3AFE" w:rsidRPr="008B5FD4" w:rsidRDefault="009A3AFE" w:rsidP="009A3AFE">
            <w:pPr>
              <w:jc w:val="right"/>
              <w:rPr>
                <w:b/>
                <w:sz w:val="20"/>
              </w:rPr>
            </w:pPr>
            <w:r w:rsidRPr="008B5FD4">
              <w:rPr>
                <w:b/>
                <w:sz w:val="20"/>
              </w:rPr>
              <w:t>Purchases at cost and derivative payments</w:t>
            </w:r>
          </w:p>
        </w:tc>
        <w:tc>
          <w:tcPr>
            <w:tcW w:w="1709" w:type="dxa"/>
            <w:gridSpan w:val="2"/>
          </w:tcPr>
          <w:p w:rsidR="009A3AFE" w:rsidRPr="008B5FD4" w:rsidRDefault="009A3AFE" w:rsidP="009A3AFE">
            <w:pPr>
              <w:jc w:val="right"/>
              <w:rPr>
                <w:b/>
                <w:sz w:val="20"/>
              </w:rPr>
            </w:pPr>
            <w:r w:rsidRPr="008B5FD4">
              <w:rPr>
                <w:b/>
                <w:sz w:val="20"/>
              </w:rPr>
              <w:t>Sales proceeds and derivative receipts</w:t>
            </w:r>
          </w:p>
        </w:tc>
        <w:tc>
          <w:tcPr>
            <w:tcW w:w="1593" w:type="dxa"/>
            <w:gridSpan w:val="2"/>
          </w:tcPr>
          <w:p w:rsidR="009A3AFE" w:rsidRDefault="009A3AFE" w:rsidP="009A3AFE">
            <w:pPr>
              <w:jc w:val="right"/>
              <w:rPr>
                <w:b/>
                <w:sz w:val="20"/>
              </w:rPr>
            </w:pPr>
            <w:r w:rsidRPr="008B5FD4">
              <w:rPr>
                <w:b/>
                <w:sz w:val="20"/>
              </w:rPr>
              <w:t>Change in market</w:t>
            </w:r>
          </w:p>
          <w:p w:rsidR="009A3AFE" w:rsidRPr="008B5FD4" w:rsidRDefault="009A3AFE" w:rsidP="009A3AFE">
            <w:pPr>
              <w:jc w:val="right"/>
              <w:rPr>
                <w:b/>
                <w:sz w:val="20"/>
              </w:rPr>
            </w:pPr>
            <w:r w:rsidRPr="008B5FD4">
              <w:rPr>
                <w:b/>
                <w:sz w:val="20"/>
              </w:rPr>
              <w:t xml:space="preserve"> value</w:t>
            </w:r>
          </w:p>
        </w:tc>
        <w:tc>
          <w:tcPr>
            <w:tcW w:w="1836" w:type="dxa"/>
            <w:gridSpan w:val="3"/>
          </w:tcPr>
          <w:p w:rsidR="009A3AFE" w:rsidRDefault="009A3AFE" w:rsidP="009A3AFE">
            <w:pPr>
              <w:jc w:val="right"/>
              <w:rPr>
                <w:b/>
                <w:sz w:val="20"/>
              </w:rPr>
            </w:pPr>
            <w:r w:rsidRPr="008B5FD4">
              <w:rPr>
                <w:b/>
                <w:sz w:val="20"/>
              </w:rPr>
              <w:t xml:space="preserve">Market value at 31 March </w:t>
            </w:r>
          </w:p>
          <w:p w:rsidR="009A3AFE" w:rsidRPr="008B5FD4" w:rsidRDefault="009A3AFE" w:rsidP="009A3AFE">
            <w:pPr>
              <w:jc w:val="right"/>
              <w:rPr>
                <w:b/>
                <w:sz w:val="20"/>
              </w:rPr>
            </w:pPr>
            <w:r w:rsidRPr="008B5FD4">
              <w:rPr>
                <w:b/>
                <w:sz w:val="20"/>
              </w:rPr>
              <w:t>2012</w:t>
            </w:r>
          </w:p>
        </w:tc>
      </w:tr>
      <w:tr w:rsidR="009A3AFE" w:rsidRPr="008B5FD4" w:rsidTr="005D1391">
        <w:tc>
          <w:tcPr>
            <w:tcW w:w="2626" w:type="dxa"/>
          </w:tcPr>
          <w:p w:rsidR="009A3AFE" w:rsidRPr="008B5FD4" w:rsidRDefault="009A3AFE" w:rsidP="009A3AFE">
            <w:pPr>
              <w:rPr>
                <w:b/>
                <w:sz w:val="20"/>
              </w:rPr>
            </w:pPr>
          </w:p>
        </w:tc>
        <w:tc>
          <w:tcPr>
            <w:tcW w:w="518" w:type="dxa"/>
            <w:tcBorders>
              <w:right w:val="single" w:sz="18" w:space="0" w:color="FFFFFF" w:themeColor="background1"/>
            </w:tcBorders>
          </w:tcPr>
          <w:p w:rsidR="009A3AFE" w:rsidRPr="008B5FD4" w:rsidRDefault="009A3AFE" w:rsidP="009A3AFE">
            <w:pPr>
              <w:jc w:val="right"/>
              <w:rPr>
                <w:b/>
                <w:sz w:val="20"/>
              </w:rPr>
            </w:pPr>
          </w:p>
        </w:tc>
        <w:tc>
          <w:tcPr>
            <w:tcW w:w="1029" w:type="dxa"/>
            <w:tcBorders>
              <w:left w:val="single" w:sz="18" w:space="0" w:color="FFFFFF" w:themeColor="background1"/>
            </w:tcBorders>
          </w:tcPr>
          <w:p w:rsidR="009A3AFE" w:rsidRPr="008B5FD4" w:rsidRDefault="009A3AFE" w:rsidP="009A3AFE">
            <w:pPr>
              <w:jc w:val="right"/>
              <w:rPr>
                <w:b/>
                <w:sz w:val="20"/>
              </w:rPr>
            </w:pPr>
            <w:r w:rsidRPr="008B5FD4">
              <w:rPr>
                <w:b/>
                <w:sz w:val="20"/>
              </w:rPr>
              <w:t>£m</w:t>
            </w:r>
          </w:p>
        </w:tc>
        <w:tc>
          <w:tcPr>
            <w:tcW w:w="471" w:type="dxa"/>
            <w:tcBorders>
              <w:right w:val="single" w:sz="18" w:space="0" w:color="FFFFFF" w:themeColor="background1"/>
            </w:tcBorders>
          </w:tcPr>
          <w:p w:rsidR="009A3AFE" w:rsidRPr="008B5FD4" w:rsidRDefault="009A3AFE" w:rsidP="009A3AFE">
            <w:pPr>
              <w:jc w:val="right"/>
              <w:rPr>
                <w:b/>
                <w:sz w:val="20"/>
              </w:rPr>
            </w:pPr>
          </w:p>
        </w:tc>
        <w:tc>
          <w:tcPr>
            <w:tcW w:w="1234" w:type="dxa"/>
            <w:gridSpan w:val="2"/>
            <w:tcBorders>
              <w:left w:val="single" w:sz="18" w:space="0" w:color="FFFFFF" w:themeColor="background1"/>
            </w:tcBorders>
          </w:tcPr>
          <w:p w:rsidR="009A3AFE" w:rsidRPr="008B5FD4" w:rsidRDefault="009A3AFE" w:rsidP="009A3AFE">
            <w:pPr>
              <w:jc w:val="right"/>
              <w:rPr>
                <w:b/>
                <w:sz w:val="20"/>
              </w:rPr>
            </w:pPr>
            <w:r w:rsidRPr="008B5FD4">
              <w:rPr>
                <w:b/>
                <w:sz w:val="20"/>
              </w:rPr>
              <w:t>£</w:t>
            </w:r>
            <w:r>
              <w:rPr>
                <w:b/>
                <w:sz w:val="20"/>
              </w:rPr>
              <w:t>m</w:t>
            </w:r>
          </w:p>
        </w:tc>
        <w:tc>
          <w:tcPr>
            <w:tcW w:w="1709" w:type="dxa"/>
            <w:gridSpan w:val="2"/>
          </w:tcPr>
          <w:p w:rsidR="009A3AFE" w:rsidRPr="008B5FD4" w:rsidRDefault="009A3AFE" w:rsidP="009A3AFE">
            <w:pPr>
              <w:jc w:val="right"/>
              <w:rPr>
                <w:b/>
                <w:sz w:val="20"/>
              </w:rPr>
            </w:pPr>
            <w:r w:rsidRPr="008B5FD4">
              <w:rPr>
                <w:b/>
                <w:sz w:val="20"/>
              </w:rPr>
              <w:t>£m</w:t>
            </w:r>
          </w:p>
        </w:tc>
        <w:tc>
          <w:tcPr>
            <w:tcW w:w="1593" w:type="dxa"/>
            <w:gridSpan w:val="2"/>
          </w:tcPr>
          <w:p w:rsidR="009A3AFE" w:rsidRPr="008B5FD4" w:rsidRDefault="009A3AFE" w:rsidP="009A3AFE">
            <w:pPr>
              <w:jc w:val="right"/>
              <w:rPr>
                <w:b/>
                <w:sz w:val="20"/>
              </w:rPr>
            </w:pPr>
            <w:r w:rsidRPr="008B5FD4">
              <w:rPr>
                <w:b/>
                <w:sz w:val="20"/>
              </w:rPr>
              <w:t>£m</w:t>
            </w:r>
          </w:p>
        </w:tc>
        <w:tc>
          <w:tcPr>
            <w:tcW w:w="1836" w:type="dxa"/>
            <w:gridSpan w:val="3"/>
          </w:tcPr>
          <w:p w:rsidR="009A3AFE" w:rsidRDefault="009A3AFE" w:rsidP="009A3AFE">
            <w:pPr>
              <w:jc w:val="right"/>
              <w:rPr>
                <w:b/>
                <w:sz w:val="20"/>
              </w:rPr>
            </w:pPr>
            <w:r w:rsidRPr="008B5FD4">
              <w:rPr>
                <w:b/>
                <w:sz w:val="20"/>
              </w:rPr>
              <w:t>£m</w:t>
            </w:r>
          </w:p>
          <w:p w:rsidR="009A3AFE" w:rsidRPr="008B5FD4" w:rsidRDefault="009A3AFE" w:rsidP="009A3AFE">
            <w:pPr>
              <w:jc w:val="right"/>
              <w:rPr>
                <w:b/>
                <w:sz w:val="20"/>
              </w:rPr>
            </w:pPr>
          </w:p>
        </w:tc>
      </w:tr>
      <w:tr w:rsidR="009A3AFE" w:rsidRPr="000E6955" w:rsidTr="005D1391">
        <w:tc>
          <w:tcPr>
            <w:tcW w:w="2626" w:type="dxa"/>
          </w:tcPr>
          <w:p w:rsidR="009A3AFE" w:rsidRPr="000E6955" w:rsidRDefault="009A3AFE" w:rsidP="009A3AFE">
            <w:pPr>
              <w:rPr>
                <w:sz w:val="20"/>
              </w:rPr>
            </w:pPr>
            <w:r>
              <w:rPr>
                <w:sz w:val="20"/>
              </w:rPr>
              <w:t>Fixed  interest securities</w:t>
            </w:r>
          </w:p>
        </w:tc>
        <w:tc>
          <w:tcPr>
            <w:tcW w:w="518" w:type="dxa"/>
            <w:tcBorders>
              <w:right w:val="single" w:sz="18" w:space="0" w:color="FFFFFF" w:themeColor="background1"/>
            </w:tcBorders>
          </w:tcPr>
          <w:p w:rsidR="009A3AFE" w:rsidRDefault="009A3AFE" w:rsidP="009A3AFE">
            <w:pPr>
              <w:jc w:val="right"/>
              <w:rPr>
                <w:sz w:val="20"/>
              </w:rPr>
            </w:pPr>
          </w:p>
        </w:tc>
        <w:tc>
          <w:tcPr>
            <w:tcW w:w="1029" w:type="dxa"/>
            <w:tcBorders>
              <w:left w:val="single" w:sz="18" w:space="0" w:color="FFFFFF" w:themeColor="background1"/>
            </w:tcBorders>
          </w:tcPr>
          <w:p w:rsidR="009A3AFE" w:rsidRDefault="009A3AFE" w:rsidP="009A3AFE">
            <w:pPr>
              <w:jc w:val="right"/>
              <w:rPr>
                <w:sz w:val="20"/>
              </w:rPr>
            </w:pPr>
            <w:r>
              <w:rPr>
                <w:sz w:val="20"/>
              </w:rPr>
              <w:t>559.1</w:t>
            </w:r>
          </w:p>
        </w:tc>
        <w:tc>
          <w:tcPr>
            <w:tcW w:w="471" w:type="dxa"/>
            <w:tcBorders>
              <w:right w:val="single" w:sz="18" w:space="0" w:color="FFFFFF" w:themeColor="background1"/>
            </w:tcBorders>
          </w:tcPr>
          <w:p w:rsidR="009A3AFE" w:rsidRDefault="009A3AFE" w:rsidP="009A3AFE">
            <w:pPr>
              <w:jc w:val="right"/>
              <w:rPr>
                <w:sz w:val="20"/>
              </w:rPr>
            </w:pPr>
          </w:p>
        </w:tc>
        <w:tc>
          <w:tcPr>
            <w:tcW w:w="1103" w:type="dxa"/>
            <w:tcBorders>
              <w:left w:val="single" w:sz="18" w:space="0" w:color="FFFFFF" w:themeColor="background1"/>
            </w:tcBorders>
          </w:tcPr>
          <w:p w:rsidR="009A3AFE" w:rsidRDefault="009A3AFE" w:rsidP="009A3AFE">
            <w:pPr>
              <w:jc w:val="right"/>
              <w:rPr>
                <w:sz w:val="20"/>
              </w:rPr>
            </w:pPr>
            <w:r>
              <w:rPr>
                <w:sz w:val="20"/>
              </w:rPr>
              <w:t>696.0</w:t>
            </w:r>
          </w:p>
        </w:tc>
        <w:tc>
          <w:tcPr>
            <w:tcW w:w="1840" w:type="dxa"/>
            <w:gridSpan w:val="3"/>
          </w:tcPr>
          <w:p w:rsidR="009A3AFE" w:rsidRDefault="005D1391" w:rsidP="009A3AFE">
            <w:pPr>
              <w:jc w:val="right"/>
              <w:rPr>
                <w:sz w:val="20"/>
              </w:rPr>
            </w:pPr>
            <w:r>
              <w:rPr>
                <w:sz w:val="20"/>
              </w:rPr>
              <w:t>(</w:t>
            </w:r>
            <w:r w:rsidR="009A3AFE">
              <w:rPr>
                <w:sz w:val="20"/>
              </w:rPr>
              <w:t>657.8</w:t>
            </w:r>
            <w:r>
              <w:rPr>
                <w:sz w:val="20"/>
              </w:rPr>
              <w:t>)</w:t>
            </w:r>
          </w:p>
        </w:tc>
        <w:tc>
          <w:tcPr>
            <w:tcW w:w="885" w:type="dxa"/>
            <w:tcBorders>
              <w:right w:val="single" w:sz="18" w:space="0" w:color="FFFFFF" w:themeColor="background1"/>
            </w:tcBorders>
          </w:tcPr>
          <w:p w:rsidR="009A3AFE" w:rsidRDefault="009A3AFE" w:rsidP="009A3AFE">
            <w:pPr>
              <w:jc w:val="right"/>
              <w:rPr>
                <w:sz w:val="20"/>
              </w:rPr>
            </w:pPr>
          </w:p>
        </w:tc>
        <w:tc>
          <w:tcPr>
            <w:tcW w:w="708" w:type="dxa"/>
            <w:tcBorders>
              <w:left w:val="single" w:sz="18" w:space="0" w:color="FFFFFF" w:themeColor="background1"/>
            </w:tcBorders>
          </w:tcPr>
          <w:p w:rsidR="009A3AFE" w:rsidRDefault="009A3AFE" w:rsidP="009A3AFE">
            <w:pPr>
              <w:jc w:val="right"/>
              <w:rPr>
                <w:sz w:val="20"/>
              </w:rPr>
            </w:pPr>
            <w:r>
              <w:rPr>
                <w:sz w:val="20"/>
              </w:rPr>
              <w:t>26.1</w:t>
            </w:r>
          </w:p>
        </w:tc>
        <w:tc>
          <w:tcPr>
            <w:tcW w:w="983" w:type="dxa"/>
            <w:gridSpan w:val="2"/>
            <w:tcBorders>
              <w:right w:val="single" w:sz="18" w:space="0" w:color="FFFFFF" w:themeColor="background1"/>
            </w:tcBorders>
          </w:tcPr>
          <w:p w:rsidR="009A3AFE" w:rsidRDefault="009A3AFE" w:rsidP="009A3AFE">
            <w:pPr>
              <w:jc w:val="right"/>
              <w:rPr>
                <w:sz w:val="20"/>
              </w:rPr>
            </w:pPr>
          </w:p>
        </w:tc>
        <w:tc>
          <w:tcPr>
            <w:tcW w:w="853" w:type="dxa"/>
            <w:tcBorders>
              <w:left w:val="single" w:sz="18" w:space="0" w:color="FFFFFF" w:themeColor="background1"/>
            </w:tcBorders>
          </w:tcPr>
          <w:p w:rsidR="009A3AFE" w:rsidRDefault="009A3AFE" w:rsidP="009A3AFE">
            <w:pPr>
              <w:jc w:val="right"/>
              <w:rPr>
                <w:sz w:val="20"/>
              </w:rPr>
            </w:pPr>
            <w:r>
              <w:rPr>
                <w:sz w:val="20"/>
              </w:rPr>
              <w:t>623.4</w:t>
            </w:r>
          </w:p>
        </w:tc>
      </w:tr>
      <w:tr w:rsidR="009A3AFE" w:rsidRPr="000E6955" w:rsidTr="005D1391">
        <w:tc>
          <w:tcPr>
            <w:tcW w:w="2626" w:type="dxa"/>
          </w:tcPr>
          <w:p w:rsidR="009A3AFE" w:rsidRDefault="009A3AFE" w:rsidP="009A3AFE">
            <w:pPr>
              <w:rPr>
                <w:sz w:val="20"/>
              </w:rPr>
            </w:pPr>
            <w:r>
              <w:rPr>
                <w:sz w:val="20"/>
              </w:rPr>
              <w:t>Equities</w:t>
            </w:r>
          </w:p>
        </w:tc>
        <w:tc>
          <w:tcPr>
            <w:tcW w:w="518" w:type="dxa"/>
            <w:tcBorders>
              <w:right w:val="single" w:sz="18" w:space="0" w:color="FFFFFF" w:themeColor="background1"/>
            </w:tcBorders>
          </w:tcPr>
          <w:p w:rsidR="009A3AFE" w:rsidRDefault="009A3AFE" w:rsidP="009A3AFE">
            <w:pPr>
              <w:jc w:val="right"/>
              <w:rPr>
                <w:sz w:val="20"/>
              </w:rPr>
            </w:pPr>
          </w:p>
        </w:tc>
        <w:tc>
          <w:tcPr>
            <w:tcW w:w="1029" w:type="dxa"/>
            <w:tcBorders>
              <w:left w:val="single" w:sz="18" w:space="0" w:color="FFFFFF" w:themeColor="background1"/>
            </w:tcBorders>
          </w:tcPr>
          <w:p w:rsidR="009A3AFE" w:rsidRDefault="009A3AFE" w:rsidP="009A3AFE">
            <w:pPr>
              <w:jc w:val="right"/>
              <w:rPr>
                <w:sz w:val="20"/>
              </w:rPr>
            </w:pPr>
            <w:r>
              <w:rPr>
                <w:sz w:val="20"/>
              </w:rPr>
              <w:t>1,735.1</w:t>
            </w:r>
          </w:p>
        </w:tc>
        <w:tc>
          <w:tcPr>
            <w:tcW w:w="471" w:type="dxa"/>
            <w:tcBorders>
              <w:right w:val="single" w:sz="18" w:space="0" w:color="FFFFFF" w:themeColor="background1"/>
            </w:tcBorders>
          </w:tcPr>
          <w:p w:rsidR="009A3AFE" w:rsidRDefault="009A3AFE" w:rsidP="009A3AFE">
            <w:pPr>
              <w:jc w:val="right"/>
              <w:rPr>
                <w:sz w:val="20"/>
              </w:rPr>
            </w:pPr>
          </w:p>
        </w:tc>
        <w:tc>
          <w:tcPr>
            <w:tcW w:w="1103" w:type="dxa"/>
            <w:tcBorders>
              <w:left w:val="single" w:sz="18" w:space="0" w:color="FFFFFF" w:themeColor="background1"/>
            </w:tcBorders>
          </w:tcPr>
          <w:p w:rsidR="009A3AFE" w:rsidRDefault="009A3AFE" w:rsidP="009A3AFE">
            <w:pPr>
              <w:jc w:val="right"/>
              <w:rPr>
                <w:sz w:val="20"/>
              </w:rPr>
            </w:pPr>
            <w:r>
              <w:rPr>
                <w:sz w:val="20"/>
              </w:rPr>
              <w:t xml:space="preserve"> 401.0</w:t>
            </w:r>
          </w:p>
        </w:tc>
        <w:tc>
          <w:tcPr>
            <w:tcW w:w="1840" w:type="dxa"/>
            <w:gridSpan w:val="3"/>
          </w:tcPr>
          <w:p w:rsidR="009A3AFE" w:rsidRDefault="005D1391" w:rsidP="009A3AFE">
            <w:pPr>
              <w:jc w:val="right"/>
              <w:rPr>
                <w:sz w:val="20"/>
              </w:rPr>
            </w:pPr>
            <w:r>
              <w:rPr>
                <w:sz w:val="20"/>
              </w:rPr>
              <w:t>(</w:t>
            </w:r>
            <w:r w:rsidR="009A3AFE">
              <w:rPr>
                <w:sz w:val="20"/>
              </w:rPr>
              <w:t>441.9</w:t>
            </w:r>
            <w:r>
              <w:rPr>
                <w:sz w:val="20"/>
              </w:rPr>
              <w:t>)</w:t>
            </w:r>
          </w:p>
        </w:tc>
        <w:tc>
          <w:tcPr>
            <w:tcW w:w="885" w:type="dxa"/>
            <w:tcBorders>
              <w:right w:val="single" w:sz="18" w:space="0" w:color="FFFFFF" w:themeColor="background1"/>
            </w:tcBorders>
          </w:tcPr>
          <w:p w:rsidR="009A3AFE" w:rsidRDefault="009A3AFE" w:rsidP="009A3AFE">
            <w:pPr>
              <w:jc w:val="right"/>
              <w:rPr>
                <w:sz w:val="20"/>
              </w:rPr>
            </w:pPr>
          </w:p>
        </w:tc>
        <w:tc>
          <w:tcPr>
            <w:tcW w:w="850" w:type="dxa"/>
            <w:gridSpan w:val="2"/>
            <w:tcBorders>
              <w:left w:val="single" w:sz="18" w:space="0" w:color="FFFFFF" w:themeColor="background1"/>
            </w:tcBorders>
          </w:tcPr>
          <w:p w:rsidR="009A3AFE" w:rsidRDefault="005D1391" w:rsidP="009E32E5">
            <w:pPr>
              <w:rPr>
                <w:sz w:val="20"/>
              </w:rPr>
            </w:pPr>
            <w:r>
              <w:rPr>
                <w:sz w:val="20"/>
              </w:rPr>
              <w:t>(</w:t>
            </w:r>
            <w:r w:rsidR="009A3AFE">
              <w:rPr>
                <w:sz w:val="20"/>
              </w:rPr>
              <w:t>80.5</w:t>
            </w:r>
            <w:r>
              <w:rPr>
                <w:sz w:val="20"/>
              </w:rPr>
              <w:t>)</w:t>
            </w:r>
          </w:p>
        </w:tc>
        <w:tc>
          <w:tcPr>
            <w:tcW w:w="1694" w:type="dxa"/>
            <w:gridSpan w:val="2"/>
          </w:tcPr>
          <w:p w:rsidR="009A3AFE" w:rsidRDefault="009A3AFE" w:rsidP="009A3AFE">
            <w:pPr>
              <w:jc w:val="right"/>
              <w:rPr>
                <w:sz w:val="20"/>
              </w:rPr>
            </w:pPr>
            <w:r>
              <w:rPr>
                <w:sz w:val="20"/>
              </w:rPr>
              <w:t>1,613.7</w:t>
            </w:r>
          </w:p>
        </w:tc>
      </w:tr>
      <w:tr w:rsidR="009A3AFE" w:rsidRPr="000E6955" w:rsidTr="005D1391">
        <w:tc>
          <w:tcPr>
            <w:tcW w:w="2626" w:type="dxa"/>
          </w:tcPr>
          <w:p w:rsidR="009A3AFE" w:rsidRDefault="009A3AFE" w:rsidP="009A3AFE">
            <w:pPr>
              <w:rPr>
                <w:sz w:val="20"/>
              </w:rPr>
            </w:pPr>
            <w:r>
              <w:rPr>
                <w:sz w:val="20"/>
              </w:rPr>
              <w:t>Index linked securities</w:t>
            </w:r>
          </w:p>
        </w:tc>
        <w:tc>
          <w:tcPr>
            <w:tcW w:w="518" w:type="dxa"/>
            <w:tcBorders>
              <w:right w:val="single" w:sz="18" w:space="0" w:color="FFFFFF" w:themeColor="background1"/>
            </w:tcBorders>
          </w:tcPr>
          <w:p w:rsidR="009A3AFE" w:rsidRDefault="009A3AFE" w:rsidP="009A3AFE">
            <w:pPr>
              <w:jc w:val="right"/>
              <w:rPr>
                <w:sz w:val="20"/>
              </w:rPr>
            </w:pPr>
          </w:p>
        </w:tc>
        <w:tc>
          <w:tcPr>
            <w:tcW w:w="1029" w:type="dxa"/>
            <w:tcBorders>
              <w:left w:val="single" w:sz="18" w:space="0" w:color="FFFFFF" w:themeColor="background1"/>
            </w:tcBorders>
          </w:tcPr>
          <w:p w:rsidR="009A3AFE" w:rsidRDefault="009A3AFE" w:rsidP="009A3AFE">
            <w:pPr>
              <w:jc w:val="right"/>
              <w:rPr>
                <w:sz w:val="20"/>
              </w:rPr>
            </w:pPr>
            <w:r>
              <w:rPr>
                <w:sz w:val="20"/>
              </w:rPr>
              <w:t>141.0</w:t>
            </w:r>
          </w:p>
        </w:tc>
        <w:tc>
          <w:tcPr>
            <w:tcW w:w="471" w:type="dxa"/>
            <w:tcBorders>
              <w:right w:val="single" w:sz="18" w:space="0" w:color="FFFFFF" w:themeColor="background1"/>
            </w:tcBorders>
          </w:tcPr>
          <w:p w:rsidR="009A3AFE" w:rsidRDefault="009A3AFE" w:rsidP="009A3AFE">
            <w:pPr>
              <w:jc w:val="right"/>
              <w:rPr>
                <w:sz w:val="20"/>
              </w:rPr>
            </w:pPr>
          </w:p>
        </w:tc>
        <w:tc>
          <w:tcPr>
            <w:tcW w:w="1103" w:type="dxa"/>
            <w:tcBorders>
              <w:left w:val="single" w:sz="18" w:space="0" w:color="FFFFFF" w:themeColor="background1"/>
            </w:tcBorders>
          </w:tcPr>
          <w:p w:rsidR="009A3AFE" w:rsidRDefault="009A3AFE" w:rsidP="009A3AFE">
            <w:pPr>
              <w:jc w:val="right"/>
              <w:rPr>
                <w:sz w:val="20"/>
              </w:rPr>
            </w:pPr>
            <w:r>
              <w:rPr>
                <w:sz w:val="20"/>
              </w:rPr>
              <w:t>120.9</w:t>
            </w:r>
          </w:p>
        </w:tc>
        <w:tc>
          <w:tcPr>
            <w:tcW w:w="1840" w:type="dxa"/>
            <w:gridSpan w:val="3"/>
          </w:tcPr>
          <w:p w:rsidR="009A3AFE" w:rsidRDefault="005D1391" w:rsidP="009A3AFE">
            <w:pPr>
              <w:jc w:val="right"/>
              <w:rPr>
                <w:sz w:val="20"/>
              </w:rPr>
            </w:pPr>
            <w:r>
              <w:rPr>
                <w:sz w:val="20"/>
              </w:rPr>
              <w:t>(</w:t>
            </w:r>
            <w:r w:rsidR="009A3AFE">
              <w:rPr>
                <w:sz w:val="20"/>
              </w:rPr>
              <w:t>159.1</w:t>
            </w:r>
            <w:r>
              <w:rPr>
                <w:sz w:val="20"/>
              </w:rPr>
              <w:t>)</w:t>
            </w:r>
          </w:p>
        </w:tc>
        <w:tc>
          <w:tcPr>
            <w:tcW w:w="885" w:type="dxa"/>
            <w:tcBorders>
              <w:right w:val="single" w:sz="18" w:space="0" w:color="FFFFFF" w:themeColor="background1"/>
            </w:tcBorders>
          </w:tcPr>
          <w:p w:rsidR="009A3AFE" w:rsidRDefault="009A3AFE" w:rsidP="009A3AFE">
            <w:pPr>
              <w:jc w:val="right"/>
              <w:rPr>
                <w:sz w:val="20"/>
              </w:rPr>
            </w:pPr>
          </w:p>
        </w:tc>
        <w:tc>
          <w:tcPr>
            <w:tcW w:w="708" w:type="dxa"/>
            <w:tcBorders>
              <w:left w:val="single" w:sz="18" w:space="0" w:color="FFFFFF" w:themeColor="background1"/>
            </w:tcBorders>
          </w:tcPr>
          <w:p w:rsidR="009A3AFE" w:rsidRDefault="009A3AFE" w:rsidP="009A3AFE">
            <w:pPr>
              <w:jc w:val="right"/>
              <w:rPr>
                <w:sz w:val="20"/>
              </w:rPr>
            </w:pPr>
            <w:r>
              <w:rPr>
                <w:sz w:val="20"/>
              </w:rPr>
              <w:t>21.8</w:t>
            </w:r>
          </w:p>
        </w:tc>
        <w:tc>
          <w:tcPr>
            <w:tcW w:w="983" w:type="dxa"/>
            <w:gridSpan w:val="2"/>
            <w:tcBorders>
              <w:right w:val="single" w:sz="18" w:space="0" w:color="FFFFFF" w:themeColor="background1"/>
            </w:tcBorders>
          </w:tcPr>
          <w:p w:rsidR="009A3AFE" w:rsidRDefault="009A3AFE" w:rsidP="009A3AFE">
            <w:pPr>
              <w:jc w:val="right"/>
              <w:rPr>
                <w:sz w:val="20"/>
              </w:rPr>
            </w:pPr>
          </w:p>
        </w:tc>
        <w:tc>
          <w:tcPr>
            <w:tcW w:w="853" w:type="dxa"/>
            <w:tcBorders>
              <w:left w:val="single" w:sz="18" w:space="0" w:color="FFFFFF" w:themeColor="background1"/>
            </w:tcBorders>
          </w:tcPr>
          <w:p w:rsidR="009A3AFE" w:rsidRDefault="009A3AFE" w:rsidP="009A3AFE">
            <w:pPr>
              <w:jc w:val="right"/>
              <w:rPr>
                <w:sz w:val="20"/>
              </w:rPr>
            </w:pPr>
            <w:r>
              <w:rPr>
                <w:sz w:val="20"/>
              </w:rPr>
              <w:t>124.6</w:t>
            </w:r>
          </w:p>
        </w:tc>
      </w:tr>
      <w:tr w:rsidR="009A3AFE" w:rsidRPr="000E6955" w:rsidTr="005D1391">
        <w:tc>
          <w:tcPr>
            <w:tcW w:w="2626" w:type="dxa"/>
          </w:tcPr>
          <w:p w:rsidR="009A3AFE" w:rsidRDefault="009A3AFE" w:rsidP="009A3AFE">
            <w:pPr>
              <w:rPr>
                <w:sz w:val="20"/>
              </w:rPr>
            </w:pPr>
            <w:r>
              <w:rPr>
                <w:sz w:val="20"/>
              </w:rPr>
              <w:t>Pooled investments</w:t>
            </w:r>
          </w:p>
        </w:tc>
        <w:tc>
          <w:tcPr>
            <w:tcW w:w="518" w:type="dxa"/>
            <w:tcBorders>
              <w:right w:val="single" w:sz="18" w:space="0" w:color="FFFFFF" w:themeColor="background1"/>
            </w:tcBorders>
          </w:tcPr>
          <w:p w:rsidR="009A3AFE" w:rsidRDefault="009A3AFE" w:rsidP="009A3AFE">
            <w:pPr>
              <w:jc w:val="right"/>
              <w:rPr>
                <w:sz w:val="20"/>
              </w:rPr>
            </w:pPr>
          </w:p>
        </w:tc>
        <w:tc>
          <w:tcPr>
            <w:tcW w:w="1029" w:type="dxa"/>
            <w:tcBorders>
              <w:left w:val="single" w:sz="18" w:space="0" w:color="FFFFFF" w:themeColor="background1"/>
            </w:tcBorders>
          </w:tcPr>
          <w:p w:rsidR="009A3AFE" w:rsidRDefault="009A3AFE" w:rsidP="009A3AFE">
            <w:pPr>
              <w:jc w:val="right"/>
              <w:rPr>
                <w:sz w:val="20"/>
              </w:rPr>
            </w:pPr>
            <w:r>
              <w:rPr>
                <w:sz w:val="20"/>
              </w:rPr>
              <w:t>1,395.5</w:t>
            </w:r>
          </w:p>
        </w:tc>
        <w:tc>
          <w:tcPr>
            <w:tcW w:w="471" w:type="dxa"/>
            <w:tcBorders>
              <w:right w:val="single" w:sz="18" w:space="0" w:color="FFFFFF" w:themeColor="background1"/>
            </w:tcBorders>
          </w:tcPr>
          <w:p w:rsidR="009A3AFE" w:rsidRDefault="009A3AFE" w:rsidP="009A3AFE">
            <w:pPr>
              <w:jc w:val="right"/>
              <w:rPr>
                <w:sz w:val="20"/>
              </w:rPr>
            </w:pPr>
          </w:p>
        </w:tc>
        <w:tc>
          <w:tcPr>
            <w:tcW w:w="1103" w:type="dxa"/>
            <w:tcBorders>
              <w:left w:val="single" w:sz="18" w:space="0" w:color="FFFFFF" w:themeColor="background1"/>
            </w:tcBorders>
          </w:tcPr>
          <w:p w:rsidR="009A3AFE" w:rsidRDefault="009A3AFE" w:rsidP="009A3AFE">
            <w:pPr>
              <w:jc w:val="right"/>
              <w:rPr>
                <w:sz w:val="20"/>
              </w:rPr>
            </w:pPr>
            <w:r>
              <w:rPr>
                <w:sz w:val="20"/>
              </w:rPr>
              <w:t>399.2</w:t>
            </w:r>
          </w:p>
        </w:tc>
        <w:tc>
          <w:tcPr>
            <w:tcW w:w="1840" w:type="dxa"/>
            <w:gridSpan w:val="3"/>
          </w:tcPr>
          <w:p w:rsidR="009A3AFE" w:rsidRDefault="005D1391" w:rsidP="009A3AFE">
            <w:pPr>
              <w:jc w:val="right"/>
              <w:rPr>
                <w:sz w:val="20"/>
              </w:rPr>
            </w:pPr>
            <w:r>
              <w:rPr>
                <w:sz w:val="20"/>
              </w:rPr>
              <w:t>(</w:t>
            </w:r>
            <w:r w:rsidR="009A3AFE">
              <w:rPr>
                <w:sz w:val="20"/>
              </w:rPr>
              <w:t>359.6</w:t>
            </w:r>
            <w:r>
              <w:rPr>
                <w:sz w:val="20"/>
              </w:rPr>
              <w:t>)</w:t>
            </w:r>
          </w:p>
        </w:tc>
        <w:tc>
          <w:tcPr>
            <w:tcW w:w="885" w:type="dxa"/>
            <w:tcBorders>
              <w:right w:val="single" w:sz="18" w:space="0" w:color="FFFFFF" w:themeColor="background1"/>
            </w:tcBorders>
          </w:tcPr>
          <w:p w:rsidR="009A3AFE" w:rsidRDefault="009A3AFE" w:rsidP="009A3AFE">
            <w:pPr>
              <w:jc w:val="right"/>
              <w:rPr>
                <w:sz w:val="20"/>
              </w:rPr>
            </w:pPr>
          </w:p>
        </w:tc>
        <w:tc>
          <w:tcPr>
            <w:tcW w:w="708" w:type="dxa"/>
            <w:tcBorders>
              <w:left w:val="single" w:sz="18" w:space="0" w:color="FFFFFF" w:themeColor="background1"/>
            </w:tcBorders>
          </w:tcPr>
          <w:p w:rsidR="009A3AFE" w:rsidRDefault="009A3AFE" w:rsidP="009A3AFE">
            <w:pPr>
              <w:jc w:val="right"/>
              <w:rPr>
                <w:sz w:val="20"/>
              </w:rPr>
            </w:pPr>
            <w:r>
              <w:rPr>
                <w:sz w:val="20"/>
              </w:rPr>
              <w:t>31.2</w:t>
            </w:r>
          </w:p>
        </w:tc>
        <w:tc>
          <w:tcPr>
            <w:tcW w:w="1836" w:type="dxa"/>
            <w:gridSpan w:val="3"/>
          </w:tcPr>
          <w:p w:rsidR="009A3AFE" w:rsidRDefault="009A3AFE" w:rsidP="009A3AFE">
            <w:pPr>
              <w:jc w:val="right"/>
              <w:rPr>
                <w:sz w:val="20"/>
              </w:rPr>
            </w:pPr>
            <w:r>
              <w:rPr>
                <w:sz w:val="20"/>
              </w:rPr>
              <w:t>1,466.3</w:t>
            </w:r>
          </w:p>
        </w:tc>
      </w:tr>
      <w:tr w:rsidR="009A3AFE" w:rsidRPr="000E6955" w:rsidTr="005D1391">
        <w:tc>
          <w:tcPr>
            <w:tcW w:w="2626" w:type="dxa"/>
          </w:tcPr>
          <w:p w:rsidR="009A3AFE" w:rsidRDefault="009A3AFE" w:rsidP="009A3AFE">
            <w:pPr>
              <w:rPr>
                <w:sz w:val="20"/>
              </w:rPr>
            </w:pPr>
            <w:r>
              <w:rPr>
                <w:sz w:val="20"/>
              </w:rPr>
              <w:t>Property</w:t>
            </w:r>
          </w:p>
        </w:tc>
        <w:tc>
          <w:tcPr>
            <w:tcW w:w="518" w:type="dxa"/>
            <w:tcBorders>
              <w:bottom w:val="single" w:sz="18" w:space="0" w:color="auto"/>
              <w:right w:val="single" w:sz="18" w:space="0" w:color="FFFFFF" w:themeColor="background1"/>
            </w:tcBorders>
          </w:tcPr>
          <w:p w:rsidR="009A3AFE" w:rsidRDefault="009A3AFE" w:rsidP="009A3AFE">
            <w:pPr>
              <w:jc w:val="right"/>
              <w:rPr>
                <w:sz w:val="20"/>
              </w:rPr>
            </w:pPr>
          </w:p>
        </w:tc>
        <w:tc>
          <w:tcPr>
            <w:tcW w:w="1029" w:type="dxa"/>
            <w:tcBorders>
              <w:left w:val="single" w:sz="18" w:space="0" w:color="FFFFFF" w:themeColor="background1"/>
              <w:bottom w:val="single" w:sz="18" w:space="0" w:color="auto"/>
            </w:tcBorders>
          </w:tcPr>
          <w:p w:rsidR="009A3AFE" w:rsidRDefault="009A3AFE" w:rsidP="009A3AFE">
            <w:pPr>
              <w:jc w:val="right"/>
              <w:rPr>
                <w:sz w:val="20"/>
              </w:rPr>
            </w:pPr>
            <w:r>
              <w:rPr>
                <w:sz w:val="20"/>
              </w:rPr>
              <w:t>397.5</w:t>
            </w:r>
          </w:p>
        </w:tc>
        <w:tc>
          <w:tcPr>
            <w:tcW w:w="471" w:type="dxa"/>
            <w:tcBorders>
              <w:bottom w:val="single" w:sz="18" w:space="0" w:color="auto"/>
              <w:right w:val="single" w:sz="18" w:space="0" w:color="FFFFFF" w:themeColor="background1"/>
            </w:tcBorders>
          </w:tcPr>
          <w:p w:rsidR="009A3AFE" w:rsidRDefault="009A3AFE" w:rsidP="009A3AFE">
            <w:pPr>
              <w:jc w:val="right"/>
              <w:rPr>
                <w:sz w:val="20"/>
              </w:rPr>
            </w:pPr>
          </w:p>
        </w:tc>
        <w:tc>
          <w:tcPr>
            <w:tcW w:w="1103" w:type="dxa"/>
            <w:tcBorders>
              <w:left w:val="single" w:sz="18" w:space="0" w:color="FFFFFF" w:themeColor="background1"/>
              <w:bottom w:val="single" w:sz="18" w:space="0" w:color="auto"/>
            </w:tcBorders>
          </w:tcPr>
          <w:p w:rsidR="009A3AFE" w:rsidRDefault="009A3AFE" w:rsidP="009A3AFE">
            <w:pPr>
              <w:jc w:val="right"/>
              <w:rPr>
                <w:sz w:val="20"/>
              </w:rPr>
            </w:pPr>
            <w:r>
              <w:rPr>
                <w:sz w:val="20"/>
              </w:rPr>
              <w:t xml:space="preserve">  24.2</w:t>
            </w:r>
          </w:p>
        </w:tc>
        <w:tc>
          <w:tcPr>
            <w:tcW w:w="1840" w:type="dxa"/>
            <w:gridSpan w:val="3"/>
            <w:tcBorders>
              <w:bottom w:val="single" w:sz="18" w:space="0" w:color="auto"/>
            </w:tcBorders>
          </w:tcPr>
          <w:p w:rsidR="009A3AFE" w:rsidRDefault="005D1391" w:rsidP="009A3AFE">
            <w:pPr>
              <w:jc w:val="right"/>
              <w:rPr>
                <w:sz w:val="20"/>
              </w:rPr>
            </w:pPr>
            <w:r>
              <w:rPr>
                <w:sz w:val="20"/>
              </w:rPr>
              <w:t>(</w:t>
            </w:r>
            <w:r w:rsidR="009A3AFE">
              <w:rPr>
                <w:sz w:val="20"/>
              </w:rPr>
              <w:t>34.1</w:t>
            </w:r>
            <w:r>
              <w:rPr>
                <w:sz w:val="20"/>
              </w:rPr>
              <w:t>)</w:t>
            </w:r>
          </w:p>
        </w:tc>
        <w:tc>
          <w:tcPr>
            <w:tcW w:w="885" w:type="dxa"/>
            <w:tcBorders>
              <w:bottom w:val="single" w:sz="18" w:space="0" w:color="auto"/>
              <w:right w:val="single" w:sz="18" w:space="0" w:color="FFFFFF" w:themeColor="background1"/>
            </w:tcBorders>
          </w:tcPr>
          <w:p w:rsidR="009A3AFE" w:rsidRDefault="009A3AFE" w:rsidP="009A3AFE">
            <w:pPr>
              <w:jc w:val="right"/>
              <w:rPr>
                <w:sz w:val="20"/>
              </w:rPr>
            </w:pPr>
          </w:p>
        </w:tc>
        <w:tc>
          <w:tcPr>
            <w:tcW w:w="708" w:type="dxa"/>
            <w:tcBorders>
              <w:left w:val="single" w:sz="18" w:space="0" w:color="FFFFFF" w:themeColor="background1"/>
              <w:bottom w:val="single" w:sz="18" w:space="0" w:color="auto"/>
            </w:tcBorders>
          </w:tcPr>
          <w:p w:rsidR="009A3AFE" w:rsidRDefault="005D1391" w:rsidP="009A3AFE">
            <w:pPr>
              <w:jc w:val="right"/>
              <w:rPr>
                <w:sz w:val="20"/>
              </w:rPr>
            </w:pPr>
            <w:r>
              <w:rPr>
                <w:sz w:val="20"/>
              </w:rPr>
              <w:t>(</w:t>
            </w:r>
            <w:r w:rsidR="009A3AFE">
              <w:rPr>
                <w:sz w:val="20"/>
              </w:rPr>
              <w:t>3.7</w:t>
            </w:r>
            <w:r>
              <w:rPr>
                <w:sz w:val="20"/>
              </w:rPr>
              <w:t>)</w:t>
            </w:r>
          </w:p>
        </w:tc>
        <w:tc>
          <w:tcPr>
            <w:tcW w:w="983" w:type="dxa"/>
            <w:gridSpan w:val="2"/>
            <w:tcBorders>
              <w:bottom w:val="single" w:sz="18" w:space="0" w:color="auto"/>
              <w:right w:val="single" w:sz="18" w:space="0" w:color="FFFFFF" w:themeColor="background1"/>
            </w:tcBorders>
          </w:tcPr>
          <w:p w:rsidR="009A3AFE" w:rsidRDefault="009A3AFE" w:rsidP="009A3AFE">
            <w:pPr>
              <w:jc w:val="right"/>
              <w:rPr>
                <w:sz w:val="20"/>
              </w:rPr>
            </w:pPr>
          </w:p>
        </w:tc>
        <w:tc>
          <w:tcPr>
            <w:tcW w:w="853" w:type="dxa"/>
            <w:tcBorders>
              <w:left w:val="single" w:sz="18" w:space="0" w:color="FFFFFF" w:themeColor="background1"/>
              <w:bottom w:val="single" w:sz="18" w:space="0" w:color="auto"/>
            </w:tcBorders>
          </w:tcPr>
          <w:p w:rsidR="009A3AFE" w:rsidRDefault="009A3AFE" w:rsidP="009A3AFE">
            <w:pPr>
              <w:jc w:val="right"/>
              <w:rPr>
                <w:sz w:val="20"/>
              </w:rPr>
            </w:pPr>
            <w:r>
              <w:rPr>
                <w:sz w:val="20"/>
              </w:rPr>
              <w:t>383.9</w:t>
            </w:r>
          </w:p>
        </w:tc>
      </w:tr>
      <w:tr w:rsidR="009A3AFE" w:rsidRPr="000E6955" w:rsidTr="005D1391">
        <w:tc>
          <w:tcPr>
            <w:tcW w:w="2626" w:type="dxa"/>
          </w:tcPr>
          <w:p w:rsidR="009A3AFE" w:rsidRDefault="009A3AFE" w:rsidP="009A3AFE">
            <w:pPr>
              <w:rPr>
                <w:sz w:val="20"/>
              </w:rPr>
            </w:pPr>
          </w:p>
        </w:tc>
        <w:tc>
          <w:tcPr>
            <w:tcW w:w="518" w:type="dxa"/>
            <w:tcBorders>
              <w:top w:val="single" w:sz="18" w:space="0" w:color="auto"/>
              <w:right w:val="single" w:sz="18" w:space="0" w:color="FFFFFF" w:themeColor="background1"/>
            </w:tcBorders>
          </w:tcPr>
          <w:p w:rsidR="009A3AFE" w:rsidRDefault="009A3AFE" w:rsidP="009A3AFE">
            <w:pPr>
              <w:jc w:val="right"/>
              <w:rPr>
                <w:sz w:val="20"/>
              </w:rPr>
            </w:pPr>
          </w:p>
        </w:tc>
        <w:tc>
          <w:tcPr>
            <w:tcW w:w="1029" w:type="dxa"/>
            <w:tcBorders>
              <w:top w:val="single" w:sz="18" w:space="0" w:color="auto"/>
              <w:left w:val="single" w:sz="18" w:space="0" w:color="FFFFFF" w:themeColor="background1"/>
            </w:tcBorders>
          </w:tcPr>
          <w:p w:rsidR="009A3AFE" w:rsidRDefault="009A3AFE" w:rsidP="009A3AFE">
            <w:pPr>
              <w:jc w:val="right"/>
              <w:rPr>
                <w:sz w:val="20"/>
              </w:rPr>
            </w:pPr>
            <w:r>
              <w:rPr>
                <w:sz w:val="20"/>
              </w:rPr>
              <w:t>4,228.2</w:t>
            </w:r>
          </w:p>
        </w:tc>
        <w:tc>
          <w:tcPr>
            <w:tcW w:w="471" w:type="dxa"/>
            <w:tcBorders>
              <w:top w:val="single" w:sz="18" w:space="0" w:color="auto"/>
              <w:right w:val="single" w:sz="18" w:space="0" w:color="FFFFFF" w:themeColor="background1"/>
            </w:tcBorders>
          </w:tcPr>
          <w:p w:rsidR="009A3AFE" w:rsidRDefault="009A3AFE" w:rsidP="009A3AFE">
            <w:pPr>
              <w:jc w:val="right"/>
              <w:rPr>
                <w:sz w:val="20"/>
              </w:rPr>
            </w:pPr>
          </w:p>
        </w:tc>
        <w:tc>
          <w:tcPr>
            <w:tcW w:w="1103" w:type="dxa"/>
            <w:tcBorders>
              <w:top w:val="single" w:sz="18" w:space="0" w:color="auto"/>
              <w:left w:val="single" w:sz="18" w:space="0" w:color="FFFFFF" w:themeColor="background1"/>
            </w:tcBorders>
          </w:tcPr>
          <w:p w:rsidR="009A3AFE" w:rsidRDefault="009A3AFE" w:rsidP="009A3AFE">
            <w:pPr>
              <w:jc w:val="right"/>
              <w:rPr>
                <w:sz w:val="20"/>
              </w:rPr>
            </w:pPr>
            <w:r>
              <w:rPr>
                <w:sz w:val="20"/>
              </w:rPr>
              <w:t>1,641.3</w:t>
            </w:r>
          </w:p>
        </w:tc>
        <w:tc>
          <w:tcPr>
            <w:tcW w:w="1840" w:type="dxa"/>
            <w:gridSpan w:val="3"/>
            <w:tcBorders>
              <w:top w:val="single" w:sz="18" w:space="0" w:color="auto"/>
            </w:tcBorders>
          </w:tcPr>
          <w:p w:rsidR="009A3AFE" w:rsidRDefault="00BD2A79" w:rsidP="009A3AFE">
            <w:pPr>
              <w:jc w:val="right"/>
              <w:rPr>
                <w:sz w:val="20"/>
              </w:rPr>
            </w:pPr>
            <w:r>
              <w:rPr>
                <w:sz w:val="20"/>
              </w:rPr>
              <w:t>(</w:t>
            </w:r>
            <w:r w:rsidR="009A3AFE">
              <w:rPr>
                <w:sz w:val="20"/>
              </w:rPr>
              <w:t>1,652.5</w:t>
            </w:r>
            <w:r>
              <w:rPr>
                <w:sz w:val="20"/>
              </w:rPr>
              <w:t>)</w:t>
            </w:r>
          </w:p>
        </w:tc>
        <w:tc>
          <w:tcPr>
            <w:tcW w:w="885" w:type="dxa"/>
            <w:tcBorders>
              <w:top w:val="single" w:sz="18" w:space="0" w:color="auto"/>
              <w:right w:val="single" w:sz="18" w:space="0" w:color="FFFFFF" w:themeColor="background1"/>
            </w:tcBorders>
          </w:tcPr>
          <w:p w:rsidR="009A3AFE" w:rsidRDefault="009A3AFE" w:rsidP="009A3AFE">
            <w:pPr>
              <w:jc w:val="right"/>
              <w:rPr>
                <w:sz w:val="20"/>
              </w:rPr>
            </w:pPr>
          </w:p>
        </w:tc>
        <w:tc>
          <w:tcPr>
            <w:tcW w:w="708" w:type="dxa"/>
            <w:tcBorders>
              <w:top w:val="single" w:sz="18" w:space="0" w:color="auto"/>
              <w:left w:val="single" w:sz="18" w:space="0" w:color="FFFFFF" w:themeColor="background1"/>
            </w:tcBorders>
          </w:tcPr>
          <w:p w:rsidR="009A3AFE" w:rsidRDefault="005D1391" w:rsidP="009A3AFE">
            <w:pPr>
              <w:jc w:val="right"/>
              <w:rPr>
                <w:sz w:val="20"/>
              </w:rPr>
            </w:pPr>
            <w:r>
              <w:rPr>
                <w:sz w:val="20"/>
              </w:rPr>
              <w:t>(</w:t>
            </w:r>
            <w:r w:rsidR="009A3AFE">
              <w:rPr>
                <w:sz w:val="20"/>
              </w:rPr>
              <w:t>5.1</w:t>
            </w:r>
            <w:r>
              <w:rPr>
                <w:sz w:val="20"/>
              </w:rPr>
              <w:t>)</w:t>
            </w:r>
          </w:p>
        </w:tc>
        <w:tc>
          <w:tcPr>
            <w:tcW w:w="1836" w:type="dxa"/>
            <w:gridSpan w:val="3"/>
            <w:tcBorders>
              <w:top w:val="single" w:sz="18" w:space="0" w:color="auto"/>
            </w:tcBorders>
          </w:tcPr>
          <w:p w:rsidR="009A3AFE" w:rsidRDefault="009A3AFE" w:rsidP="009A3AFE">
            <w:pPr>
              <w:jc w:val="right"/>
              <w:rPr>
                <w:sz w:val="20"/>
              </w:rPr>
            </w:pPr>
            <w:r>
              <w:rPr>
                <w:sz w:val="20"/>
              </w:rPr>
              <w:t>4,211.9</w:t>
            </w:r>
          </w:p>
          <w:p w:rsidR="009A3AFE" w:rsidRDefault="009A3AFE" w:rsidP="009A3AFE">
            <w:pPr>
              <w:jc w:val="right"/>
              <w:rPr>
                <w:sz w:val="20"/>
              </w:rPr>
            </w:pPr>
          </w:p>
        </w:tc>
      </w:tr>
      <w:tr w:rsidR="009A3AFE" w:rsidRPr="000E6955" w:rsidTr="005D1391">
        <w:tc>
          <w:tcPr>
            <w:tcW w:w="2626" w:type="dxa"/>
          </w:tcPr>
          <w:p w:rsidR="009A3AFE" w:rsidRDefault="009A3AFE" w:rsidP="009A3AFE">
            <w:pPr>
              <w:rPr>
                <w:sz w:val="20"/>
              </w:rPr>
            </w:pPr>
            <w:r>
              <w:rPr>
                <w:sz w:val="20"/>
              </w:rPr>
              <w:t>Derivative contracts:</w:t>
            </w:r>
          </w:p>
          <w:p w:rsidR="009A3AFE" w:rsidRDefault="009A3AFE" w:rsidP="009A3AFE">
            <w:pPr>
              <w:rPr>
                <w:sz w:val="20"/>
              </w:rPr>
            </w:pPr>
            <w:r>
              <w:rPr>
                <w:sz w:val="20"/>
              </w:rPr>
              <w:t>Futures</w:t>
            </w:r>
          </w:p>
        </w:tc>
        <w:tc>
          <w:tcPr>
            <w:tcW w:w="518" w:type="dxa"/>
            <w:tcBorders>
              <w:right w:val="single" w:sz="18" w:space="0" w:color="FFFFFF" w:themeColor="background1"/>
            </w:tcBorders>
          </w:tcPr>
          <w:p w:rsidR="009A3AFE" w:rsidRDefault="009A3AFE" w:rsidP="009A3AFE">
            <w:pPr>
              <w:jc w:val="right"/>
              <w:rPr>
                <w:sz w:val="20"/>
              </w:rPr>
            </w:pPr>
          </w:p>
          <w:p w:rsidR="009A3AFE" w:rsidRDefault="009A3AFE" w:rsidP="009A3AFE">
            <w:pPr>
              <w:jc w:val="right"/>
              <w:rPr>
                <w:sz w:val="20"/>
              </w:rPr>
            </w:pPr>
          </w:p>
        </w:tc>
        <w:tc>
          <w:tcPr>
            <w:tcW w:w="1029" w:type="dxa"/>
            <w:tcBorders>
              <w:left w:val="single" w:sz="18" w:space="0" w:color="FFFFFF" w:themeColor="background1"/>
            </w:tcBorders>
          </w:tcPr>
          <w:p w:rsidR="009A3AFE" w:rsidRDefault="009A3AFE" w:rsidP="009A3AFE">
            <w:pPr>
              <w:jc w:val="right"/>
              <w:rPr>
                <w:sz w:val="20"/>
              </w:rPr>
            </w:pPr>
          </w:p>
          <w:p w:rsidR="009A3AFE" w:rsidRDefault="009A3AFE" w:rsidP="009A3AFE">
            <w:pPr>
              <w:jc w:val="right"/>
              <w:rPr>
                <w:sz w:val="20"/>
              </w:rPr>
            </w:pPr>
            <w:r>
              <w:rPr>
                <w:sz w:val="20"/>
              </w:rPr>
              <w:t>0.9</w:t>
            </w:r>
          </w:p>
        </w:tc>
        <w:tc>
          <w:tcPr>
            <w:tcW w:w="471" w:type="dxa"/>
            <w:tcBorders>
              <w:right w:val="single" w:sz="18" w:space="0" w:color="FFFFFF" w:themeColor="background1"/>
            </w:tcBorders>
          </w:tcPr>
          <w:p w:rsidR="009A3AFE" w:rsidRDefault="009A3AFE" w:rsidP="009A3AFE">
            <w:pPr>
              <w:jc w:val="right"/>
              <w:rPr>
                <w:sz w:val="20"/>
              </w:rPr>
            </w:pPr>
          </w:p>
          <w:p w:rsidR="009A3AFE" w:rsidRDefault="009A3AFE" w:rsidP="009A3AFE">
            <w:pPr>
              <w:jc w:val="right"/>
              <w:rPr>
                <w:sz w:val="20"/>
              </w:rPr>
            </w:pPr>
          </w:p>
        </w:tc>
        <w:tc>
          <w:tcPr>
            <w:tcW w:w="1103" w:type="dxa"/>
            <w:tcBorders>
              <w:left w:val="single" w:sz="18" w:space="0" w:color="FFFFFF" w:themeColor="background1"/>
            </w:tcBorders>
          </w:tcPr>
          <w:p w:rsidR="009A3AFE" w:rsidRDefault="009A3AFE" w:rsidP="009A3AFE">
            <w:pPr>
              <w:jc w:val="right"/>
              <w:rPr>
                <w:sz w:val="20"/>
              </w:rPr>
            </w:pPr>
          </w:p>
          <w:p w:rsidR="009A3AFE" w:rsidRDefault="009A3AFE" w:rsidP="009A3AFE">
            <w:pPr>
              <w:jc w:val="right"/>
              <w:rPr>
                <w:sz w:val="20"/>
              </w:rPr>
            </w:pPr>
            <w:r>
              <w:rPr>
                <w:sz w:val="20"/>
              </w:rPr>
              <w:t>41.4</w:t>
            </w:r>
          </w:p>
        </w:tc>
        <w:tc>
          <w:tcPr>
            <w:tcW w:w="1840" w:type="dxa"/>
            <w:gridSpan w:val="3"/>
          </w:tcPr>
          <w:p w:rsidR="009A3AFE" w:rsidRDefault="009A3AFE" w:rsidP="009A3AFE">
            <w:pPr>
              <w:jc w:val="right"/>
              <w:rPr>
                <w:sz w:val="20"/>
              </w:rPr>
            </w:pPr>
          </w:p>
          <w:p w:rsidR="009A3AFE" w:rsidRDefault="005D1391" w:rsidP="009A3AFE">
            <w:pPr>
              <w:jc w:val="right"/>
              <w:rPr>
                <w:sz w:val="20"/>
              </w:rPr>
            </w:pPr>
            <w:r>
              <w:rPr>
                <w:sz w:val="20"/>
              </w:rPr>
              <w:t>(</w:t>
            </w:r>
            <w:r w:rsidR="009A3AFE">
              <w:rPr>
                <w:sz w:val="20"/>
              </w:rPr>
              <w:t>39.3</w:t>
            </w:r>
            <w:r>
              <w:rPr>
                <w:sz w:val="20"/>
              </w:rPr>
              <w:t>)</w:t>
            </w:r>
          </w:p>
          <w:p w:rsidR="009A3AFE" w:rsidRDefault="009A3AFE" w:rsidP="009A3AFE">
            <w:pPr>
              <w:jc w:val="right"/>
              <w:rPr>
                <w:sz w:val="20"/>
              </w:rPr>
            </w:pPr>
          </w:p>
          <w:p w:rsidR="009A3AFE" w:rsidRDefault="009A3AFE" w:rsidP="009A3AFE">
            <w:pPr>
              <w:jc w:val="right"/>
              <w:rPr>
                <w:sz w:val="20"/>
              </w:rPr>
            </w:pPr>
          </w:p>
        </w:tc>
        <w:tc>
          <w:tcPr>
            <w:tcW w:w="885" w:type="dxa"/>
            <w:tcBorders>
              <w:right w:val="single" w:sz="18" w:space="0" w:color="FFFFFF" w:themeColor="background1"/>
            </w:tcBorders>
          </w:tcPr>
          <w:p w:rsidR="009A3AFE" w:rsidRDefault="009A3AFE" w:rsidP="009A3AFE">
            <w:pPr>
              <w:jc w:val="right"/>
              <w:rPr>
                <w:sz w:val="20"/>
              </w:rPr>
            </w:pPr>
          </w:p>
        </w:tc>
        <w:tc>
          <w:tcPr>
            <w:tcW w:w="708" w:type="dxa"/>
            <w:tcBorders>
              <w:left w:val="single" w:sz="18" w:space="0" w:color="FFFFFF" w:themeColor="background1"/>
            </w:tcBorders>
          </w:tcPr>
          <w:p w:rsidR="009A3AFE" w:rsidRDefault="009A3AFE" w:rsidP="009A3AFE">
            <w:pPr>
              <w:jc w:val="right"/>
              <w:rPr>
                <w:sz w:val="20"/>
              </w:rPr>
            </w:pPr>
          </w:p>
          <w:p w:rsidR="009A3AFE" w:rsidRDefault="005D1391" w:rsidP="009A3AFE">
            <w:pPr>
              <w:jc w:val="right"/>
              <w:rPr>
                <w:sz w:val="20"/>
              </w:rPr>
            </w:pPr>
            <w:r>
              <w:rPr>
                <w:sz w:val="20"/>
              </w:rPr>
              <w:t>(</w:t>
            </w:r>
            <w:r w:rsidR="009A3AFE">
              <w:rPr>
                <w:sz w:val="20"/>
              </w:rPr>
              <w:t>2.8</w:t>
            </w:r>
            <w:r>
              <w:rPr>
                <w:sz w:val="20"/>
              </w:rPr>
              <w:t>)</w:t>
            </w:r>
          </w:p>
        </w:tc>
        <w:tc>
          <w:tcPr>
            <w:tcW w:w="983" w:type="dxa"/>
            <w:gridSpan w:val="2"/>
            <w:tcBorders>
              <w:right w:val="single" w:sz="18" w:space="0" w:color="FFFFFF" w:themeColor="background1"/>
            </w:tcBorders>
          </w:tcPr>
          <w:p w:rsidR="009A3AFE" w:rsidRDefault="009A3AFE" w:rsidP="009A3AFE">
            <w:pPr>
              <w:jc w:val="right"/>
              <w:rPr>
                <w:sz w:val="20"/>
              </w:rPr>
            </w:pPr>
          </w:p>
        </w:tc>
        <w:tc>
          <w:tcPr>
            <w:tcW w:w="853" w:type="dxa"/>
            <w:tcBorders>
              <w:left w:val="single" w:sz="18" w:space="0" w:color="FFFFFF" w:themeColor="background1"/>
            </w:tcBorders>
          </w:tcPr>
          <w:p w:rsidR="009A3AFE" w:rsidRDefault="009A3AFE" w:rsidP="009A3AFE">
            <w:pPr>
              <w:jc w:val="right"/>
              <w:rPr>
                <w:sz w:val="20"/>
              </w:rPr>
            </w:pPr>
          </w:p>
          <w:p w:rsidR="009A3AFE" w:rsidRDefault="009A3AFE" w:rsidP="009A3AFE">
            <w:pPr>
              <w:jc w:val="right"/>
              <w:rPr>
                <w:sz w:val="20"/>
              </w:rPr>
            </w:pPr>
            <w:r>
              <w:rPr>
                <w:sz w:val="20"/>
              </w:rPr>
              <w:t>0.2</w:t>
            </w:r>
          </w:p>
        </w:tc>
      </w:tr>
      <w:tr w:rsidR="009A3AFE" w:rsidRPr="000E6955" w:rsidTr="005D1391">
        <w:tc>
          <w:tcPr>
            <w:tcW w:w="2626" w:type="dxa"/>
          </w:tcPr>
          <w:p w:rsidR="009A3AFE" w:rsidRDefault="009A3AFE" w:rsidP="009A3AFE">
            <w:pPr>
              <w:rPr>
                <w:sz w:val="20"/>
              </w:rPr>
            </w:pPr>
            <w:r>
              <w:rPr>
                <w:sz w:val="20"/>
              </w:rPr>
              <w:t>Forward currency contracts</w:t>
            </w:r>
          </w:p>
        </w:tc>
        <w:tc>
          <w:tcPr>
            <w:tcW w:w="518" w:type="dxa"/>
            <w:tcBorders>
              <w:right w:val="single" w:sz="18" w:space="0" w:color="FFFFFF" w:themeColor="background1"/>
            </w:tcBorders>
          </w:tcPr>
          <w:p w:rsidR="009A3AFE" w:rsidRDefault="009A3AFE" w:rsidP="009A3AFE">
            <w:pPr>
              <w:jc w:val="right"/>
              <w:rPr>
                <w:sz w:val="20"/>
              </w:rPr>
            </w:pPr>
          </w:p>
        </w:tc>
        <w:tc>
          <w:tcPr>
            <w:tcW w:w="1029" w:type="dxa"/>
            <w:tcBorders>
              <w:left w:val="single" w:sz="18" w:space="0" w:color="FFFFFF" w:themeColor="background1"/>
            </w:tcBorders>
          </w:tcPr>
          <w:p w:rsidR="009A3AFE" w:rsidRDefault="009A3AFE" w:rsidP="009A3AFE">
            <w:pPr>
              <w:jc w:val="right"/>
              <w:rPr>
                <w:sz w:val="20"/>
              </w:rPr>
            </w:pPr>
            <w:r>
              <w:rPr>
                <w:sz w:val="20"/>
              </w:rPr>
              <w:t>0.9</w:t>
            </w:r>
          </w:p>
        </w:tc>
        <w:tc>
          <w:tcPr>
            <w:tcW w:w="471" w:type="dxa"/>
            <w:tcBorders>
              <w:right w:val="single" w:sz="18" w:space="0" w:color="FFFFFF" w:themeColor="background1"/>
            </w:tcBorders>
          </w:tcPr>
          <w:p w:rsidR="009A3AFE" w:rsidRDefault="009A3AFE" w:rsidP="009A3AFE">
            <w:pPr>
              <w:jc w:val="right"/>
              <w:rPr>
                <w:sz w:val="20"/>
              </w:rPr>
            </w:pPr>
          </w:p>
        </w:tc>
        <w:tc>
          <w:tcPr>
            <w:tcW w:w="1103" w:type="dxa"/>
            <w:tcBorders>
              <w:left w:val="single" w:sz="18" w:space="0" w:color="FFFFFF" w:themeColor="background1"/>
            </w:tcBorders>
          </w:tcPr>
          <w:p w:rsidR="009A3AFE" w:rsidRDefault="009A3AFE" w:rsidP="009A3AFE">
            <w:pPr>
              <w:jc w:val="right"/>
              <w:rPr>
                <w:sz w:val="20"/>
              </w:rPr>
            </w:pPr>
          </w:p>
        </w:tc>
        <w:tc>
          <w:tcPr>
            <w:tcW w:w="1126" w:type="dxa"/>
            <w:gridSpan w:val="2"/>
            <w:tcBorders>
              <w:right w:val="single" w:sz="18" w:space="0" w:color="FFFFFF" w:themeColor="background1"/>
            </w:tcBorders>
          </w:tcPr>
          <w:p w:rsidR="009A3AFE" w:rsidRDefault="009A3AFE" w:rsidP="009A3AFE">
            <w:pPr>
              <w:jc w:val="right"/>
              <w:rPr>
                <w:sz w:val="20"/>
              </w:rPr>
            </w:pPr>
          </w:p>
        </w:tc>
        <w:tc>
          <w:tcPr>
            <w:tcW w:w="714" w:type="dxa"/>
            <w:tcBorders>
              <w:left w:val="single" w:sz="18" w:space="0" w:color="FFFFFF" w:themeColor="background1"/>
            </w:tcBorders>
          </w:tcPr>
          <w:p w:rsidR="009A3AFE" w:rsidRDefault="009A3AFE" w:rsidP="009A3AFE">
            <w:pPr>
              <w:jc w:val="right"/>
              <w:rPr>
                <w:sz w:val="20"/>
              </w:rPr>
            </w:pPr>
          </w:p>
        </w:tc>
        <w:tc>
          <w:tcPr>
            <w:tcW w:w="885" w:type="dxa"/>
            <w:tcBorders>
              <w:right w:val="single" w:sz="18" w:space="0" w:color="FFFFFF" w:themeColor="background1"/>
            </w:tcBorders>
          </w:tcPr>
          <w:p w:rsidR="009A3AFE" w:rsidRDefault="009A3AFE" w:rsidP="009A3AFE">
            <w:pPr>
              <w:jc w:val="right"/>
              <w:rPr>
                <w:sz w:val="20"/>
              </w:rPr>
            </w:pPr>
          </w:p>
        </w:tc>
        <w:tc>
          <w:tcPr>
            <w:tcW w:w="708" w:type="dxa"/>
            <w:tcBorders>
              <w:left w:val="single" w:sz="18" w:space="0" w:color="FFFFFF" w:themeColor="background1"/>
            </w:tcBorders>
          </w:tcPr>
          <w:p w:rsidR="009A3AFE" w:rsidRDefault="009A3AFE" w:rsidP="009A3AFE">
            <w:pPr>
              <w:jc w:val="right"/>
              <w:rPr>
                <w:sz w:val="20"/>
              </w:rPr>
            </w:pPr>
          </w:p>
        </w:tc>
        <w:tc>
          <w:tcPr>
            <w:tcW w:w="983" w:type="dxa"/>
            <w:gridSpan w:val="2"/>
            <w:tcBorders>
              <w:right w:val="single" w:sz="18" w:space="0" w:color="FFFFFF" w:themeColor="background1"/>
            </w:tcBorders>
          </w:tcPr>
          <w:p w:rsidR="009A3AFE" w:rsidRDefault="009A3AFE" w:rsidP="009A3AFE">
            <w:pPr>
              <w:jc w:val="right"/>
              <w:rPr>
                <w:sz w:val="20"/>
              </w:rPr>
            </w:pPr>
          </w:p>
        </w:tc>
        <w:tc>
          <w:tcPr>
            <w:tcW w:w="853" w:type="dxa"/>
            <w:tcBorders>
              <w:left w:val="single" w:sz="18" w:space="0" w:color="FFFFFF" w:themeColor="background1"/>
            </w:tcBorders>
          </w:tcPr>
          <w:p w:rsidR="009A3AFE" w:rsidRDefault="009A3AFE" w:rsidP="009A3AFE">
            <w:pPr>
              <w:jc w:val="right"/>
              <w:rPr>
                <w:sz w:val="20"/>
              </w:rPr>
            </w:pPr>
            <w:r>
              <w:rPr>
                <w:sz w:val="20"/>
              </w:rPr>
              <w:t>1.6</w:t>
            </w:r>
          </w:p>
        </w:tc>
      </w:tr>
      <w:tr w:rsidR="009A3AFE" w:rsidRPr="000E6955" w:rsidTr="005D1391">
        <w:tc>
          <w:tcPr>
            <w:tcW w:w="2626" w:type="dxa"/>
          </w:tcPr>
          <w:p w:rsidR="009A3AFE" w:rsidRDefault="009A3AFE" w:rsidP="009A3AFE">
            <w:pPr>
              <w:rPr>
                <w:sz w:val="20"/>
              </w:rPr>
            </w:pPr>
            <w:r>
              <w:rPr>
                <w:sz w:val="20"/>
              </w:rPr>
              <w:t>Purchased/written options</w:t>
            </w:r>
          </w:p>
        </w:tc>
        <w:tc>
          <w:tcPr>
            <w:tcW w:w="518" w:type="dxa"/>
            <w:tcBorders>
              <w:right w:val="single" w:sz="18" w:space="0" w:color="FFFFFF" w:themeColor="background1"/>
            </w:tcBorders>
          </w:tcPr>
          <w:p w:rsidR="009A3AFE" w:rsidRDefault="009A3AFE" w:rsidP="009A3AFE">
            <w:pPr>
              <w:jc w:val="right"/>
              <w:rPr>
                <w:sz w:val="20"/>
              </w:rPr>
            </w:pPr>
          </w:p>
        </w:tc>
        <w:tc>
          <w:tcPr>
            <w:tcW w:w="1029" w:type="dxa"/>
            <w:tcBorders>
              <w:left w:val="single" w:sz="18" w:space="0" w:color="FFFFFF" w:themeColor="background1"/>
            </w:tcBorders>
          </w:tcPr>
          <w:p w:rsidR="009A3AFE" w:rsidRDefault="009A3AFE" w:rsidP="009A3AFE">
            <w:pPr>
              <w:jc w:val="right"/>
              <w:rPr>
                <w:sz w:val="20"/>
              </w:rPr>
            </w:pPr>
          </w:p>
        </w:tc>
        <w:tc>
          <w:tcPr>
            <w:tcW w:w="471" w:type="dxa"/>
            <w:tcBorders>
              <w:right w:val="single" w:sz="18" w:space="0" w:color="FFFFFF" w:themeColor="background1"/>
            </w:tcBorders>
          </w:tcPr>
          <w:p w:rsidR="009A3AFE" w:rsidRDefault="009A3AFE" w:rsidP="009A3AFE">
            <w:pPr>
              <w:jc w:val="right"/>
              <w:rPr>
                <w:sz w:val="20"/>
              </w:rPr>
            </w:pPr>
          </w:p>
        </w:tc>
        <w:tc>
          <w:tcPr>
            <w:tcW w:w="1103" w:type="dxa"/>
            <w:tcBorders>
              <w:left w:val="single" w:sz="18" w:space="0" w:color="FFFFFF" w:themeColor="background1"/>
            </w:tcBorders>
          </w:tcPr>
          <w:p w:rsidR="009A3AFE" w:rsidRDefault="009A3AFE" w:rsidP="009A3AFE">
            <w:pPr>
              <w:jc w:val="right"/>
              <w:rPr>
                <w:sz w:val="20"/>
              </w:rPr>
            </w:pPr>
          </w:p>
        </w:tc>
        <w:tc>
          <w:tcPr>
            <w:tcW w:w="1126" w:type="dxa"/>
            <w:gridSpan w:val="2"/>
            <w:tcBorders>
              <w:right w:val="single" w:sz="18" w:space="0" w:color="FFFFFF" w:themeColor="background1"/>
            </w:tcBorders>
          </w:tcPr>
          <w:p w:rsidR="009A3AFE" w:rsidRDefault="009A3AFE" w:rsidP="009A3AFE">
            <w:pPr>
              <w:jc w:val="right"/>
              <w:rPr>
                <w:sz w:val="20"/>
              </w:rPr>
            </w:pPr>
          </w:p>
        </w:tc>
        <w:tc>
          <w:tcPr>
            <w:tcW w:w="714" w:type="dxa"/>
            <w:tcBorders>
              <w:left w:val="single" w:sz="18" w:space="0" w:color="FFFFFF" w:themeColor="background1"/>
            </w:tcBorders>
          </w:tcPr>
          <w:p w:rsidR="009A3AFE" w:rsidRDefault="009A3AFE" w:rsidP="009A3AFE">
            <w:pPr>
              <w:jc w:val="right"/>
              <w:rPr>
                <w:sz w:val="20"/>
              </w:rPr>
            </w:pPr>
          </w:p>
        </w:tc>
        <w:tc>
          <w:tcPr>
            <w:tcW w:w="885" w:type="dxa"/>
            <w:tcBorders>
              <w:right w:val="single" w:sz="18" w:space="0" w:color="FFFFFF" w:themeColor="background1"/>
            </w:tcBorders>
          </w:tcPr>
          <w:p w:rsidR="009A3AFE" w:rsidRDefault="009A3AFE" w:rsidP="009A3AFE">
            <w:pPr>
              <w:jc w:val="right"/>
              <w:rPr>
                <w:sz w:val="20"/>
              </w:rPr>
            </w:pPr>
          </w:p>
        </w:tc>
        <w:tc>
          <w:tcPr>
            <w:tcW w:w="708" w:type="dxa"/>
            <w:tcBorders>
              <w:left w:val="single" w:sz="18" w:space="0" w:color="FFFFFF" w:themeColor="background1"/>
            </w:tcBorders>
          </w:tcPr>
          <w:p w:rsidR="009A3AFE" w:rsidRDefault="009A3AFE" w:rsidP="009A3AFE">
            <w:pPr>
              <w:jc w:val="right"/>
              <w:rPr>
                <w:sz w:val="20"/>
              </w:rPr>
            </w:pPr>
          </w:p>
        </w:tc>
        <w:tc>
          <w:tcPr>
            <w:tcW w:w="983" w:type="dxa"/>
            <w:gridSpan w:val="2"/>
            <w:tcBorders>
              <w:right w:val="single" w:sz="18" w:space="0" w:color="FFFFFF" w:themeColor="background1"/>
            </w:tcBorders>
          </w:tcPr>
          <w:p w:rsidR="009A3AFE" w:rsidRDefault="009A3AFE" w:rsidP="009A3AFE">
            <w:pPr>
              <w:jc w:val="right"/>
              <w:rPr>
                <w:sz w:val="20"/>
              </w:rPr>
            </w:pPr>
          </w:p>
        </w:tc>
        <w:tc>
          <w:tcPr>
            <w:tcW w:w="853" w:type="dxa"/>
            <w:tcBorders>
              <w:left w:val="single" w:sz="18" w:space="0" w:color="FFFFFF" w:themeColor="background1"/>
            </w:tcBorders>
          </w:tcPr>
          <w:p w:rsidR="009A3AFE" w:rsidRDefault="009A3AFE" w:rsidP="009A3AFE">
            <w:pPr>
              <w:jc w:val="right"/>
              <w:rPr>
                <w:sz w:val="20"/>
              </w:rPr>
            </w:pPr>
          </w:p>
        </w:tc>
      </w:tr>
      <w:tr w:rsidR="009A3AFE" w:rsidRPr="000E6955" w:rsidTr="005D1391">
        <w:tc>
          <w:tcPr>
            <w:tcW w:w="2626" w:type="dxa"/>
          </w:tcPr>
          <w:p w:rsidR="009A3AFE" w:rsidRDefault="009A3AFE" w:rsidP="009A3AFE">
            <w:pPr>
              <w:rPr>
                <w:sz w:val="20"/>
              </w:rPr>
            </w:pPr>
            <w:r>
              <w:rPr>
                <w:sz w:val="20"/>
              </w:rPr>
              <w:t>Cash deposits</w:t>
            </w:r>
          </w:p>
        </w:tc>
        <w:tc>
          <w:tcPr>
            <w:tcW w:w="518" w:type="dxa"/>
            <w:tcBorders>
              <w:right w:val="single" w:sz="18" w:space="0" w:color="FFFFFF" w:themeColor="background1"/>
            </w:tcBorders>
          </w:tcPr>
          <w:p w:rsidR="009A3AFE" w:rsidRDefault="009A3AFE" w:rsidP="009A3AFE">
            <w:pPr>
              <w:jc w:val="right"/>
              <w:rPr>
                <w:sz w:val="20"/>
              </w:rPr>
            </w:pPr>
          </w:p>
        </w:tc>
        <w:tc>
          <w:tcPr>
            <w:tcW w:w="1029" w:type="dxa"/>
            <w:tcBorders>
              <w:left w:val="single" w:sz="18" w:space="0" w:color="FFFFFF" w:themeColor="background1"/>
            </w:tcBorders>
          </w:tcPr>
          <w:p w:rsidR="009A3AFE" w:rsidRDefault="009A3AFE" w:rsidP="009A3AFE">
            <w:pPr>
              <w:jc w:val="right"/>
              <w:rPr>
                <w:sz w:val="20"/>
              </w:rPr>
            </w:pPr>
            <w:r>
              <w:rPr>
                <w:sz w:val="20"/>
              </w:rPr>
              <w:t>36.6</w:t>
            </w:r>
          </w:p>
        </w:tc>
        <w:tc>
          <w:tcPr>
            <w:tcW w:w="471" w:type="dxa"/>
            <w:tcBorders>
              <w:right w:val="single" w:sz="18" w:space="0" w:color="FFFFFF" w:themeColor="background1"/>
            </w:tcBorders>
          </w:tcPr>
          <w:p w:rsidR="009A3AFE" w:rsidRDefault="009A3AFE" w:rsidP="009A3AFE">
            <w:pPr>
              <w:jc w:val="right"/>
              <w:rPr>
                <w:sz w:val="20"/>
              </w:rPr>
            </w:pPr>
          </w:p>
        </w:tc>
        <w:tc>
          <w:tcPr>
            <w:tcW w:w="1103" w:type="dxa"/>
            <w:tcBorders>
              <w:left w:val="single" w:sz="18" w:space="0" w:color="FFFFFF" w:themeColor="background1"/>
            </w:tcBorders>
          </w:tcPr>
          <w:p w:rsidR="009A3AFE" w:rsidRDefault="009A3AFE" w:rsidP="009A3AFE">
            <w:pPr>
              <w:jc w:val="right"/>
              <w:rPr>
                <w:sz w:val="20"/>
              </w:rPr>
            </w:pPr>
          </w:p>
        </w:tc>
        <w:tc>
          <w:tcPr>
            <w:tcW w:w="1126" w:type="dxa"/>
            <w:gridSpan w:val="2"/>
            <w:tcBorders>
              <w:right w:val="single" w:sz="18" w:space="0" w:color="FFFFFF" w:themeColor="background1"/>
            </w:tcBorders>
          </w:tcPr>
          <w:p w:rsidR="009A3AFE" w:rsidRDefault="009A3AFE" w:rsidP="009A3AFE">
            <w:pPr>
              <w:jc w:val="right"/>
              <w:rPr>
                <w:sz w:val="20"/>
              </w:rPr>
            </w:pPr>
          </w:p>
        </w:tc>
        <w:tc>
          <w:tcPr>
            <w:tcW w:w="714" w:type="dxa"/>
            <w:tcBorders>
              <w:left w:val="single" w:sz="18" w:space="0" w:color="FFFFFF" w:themeColor="background1"/>
            </w:tcBorders>
          </w:tcPr>
          <w:p w:rsidR="009A3AFE" w:rsidRDefault="009A3AFE" w:rsidP="009A3AFE">
            <w:pPr>
              <w:jc w:val="right"/>
              <w:rPr>
                <w:sz w:val="20"/>
              </w:rPr>
            </w:pPr>
          </w:p>
        </w:tc>
        <w:tc>
          <w:tcPr>
            <w:tcW w:w="885" w:type="dxa"/>
            <w:tcBorders>
              <w:right w:val="single" w:sz="18" w:space="0" w:color="FFFFFF" w:themeColor="background1"/>
            </w:tcBorders>
          </w:tcPr>
          <w:p w:rsidR="009A3AFE" w:rsidRDefault="009A3AFE" w:rsidP="009A3AFE">
            <w:pPr>
              <w:jc w:val="right"/>
              <w:rPr>
                <w:sz w:val="20"/>
              </w:rPr>
            </w:pPr>
          </w:p>
        </w:tc>
        <w:tc>
          <w:tcPr>
            <w:tcW w:w="708" w:type="dxa"/>
            <w:tcBorders>
              <w:left w:val="single" w:sz="18" w:space="0" w:color="FFFFFF" w:themeColor="background1"/>
            </w:tcBorders>
          </w:tcPr>
          <w:p w:rsidR="009A3AFE" w:rsidRDefault="009A3AFE" w:rsidP="009A3AFE">
            <w:pPr>
              <w:jc w:val="right"/>
              <w:rPr>
                <w:sz w:val="20"/>
              </w:rPr>
            </w:pPr>
          </w:p>
        </w:tc>
        <w:tc>
          <w:tcPr>
            <w:tcW w:w="983" w:type="dxa"/>
            <w:gridSpan w:val="2"/>
            <w:tcBorders>
              <w:right w:val="single" w:sz="18" w:space="0" w:color="FFFFFF" w:themeColor="background1"/>
            </w:tcBorders>
          </w:tcPr>
          <w:p w:rsidR="009A3AFE" w:rsidRDefault="009A3AFE" w:rsidP="009A3AFE">
            <w:pPr>
              <w:jc w:val="right"/>
              <w:rPr>
                <w:sz w:val="20"/>
              </w:rPr>
            </w:pPr>
          </w:p>
        </w:tc>
        <w:tc>
          <w:tcPr>
            <w:tcW w:w="853" w:type="dxa"/>
            <w:tcBorders>
              <w:left w:val="single" w:sz="18" w:space="0" w:color="FFFFFF" w:themeColor="background1"/>
            </w:tcBorders>
          </w:tcPr>
          <w:p w:rsidR="009A3AFE" w:rsidRDefault="009A3AFE" w:rsidP="009A3AFE">
            <w:pPr>
              <w:jc w:val="right"/>
              <w:rPr>
                <w:sz w:val="20"/>
              </w:rPr>
            </w:pPr>
            <w:r>
              <w:rPr>
                <w:sz w:val="20"/>
              </w:rPr>
              <w:t>126.8</w:t>
            </w:r>
          </w:p>
        </w:tc>
      </w:tr>
      <w:tr w:rsidR="009A3AFE" w:rsidRPr="000E6955" w:rsidTr="005D1391">
        <w:tc>
          <w:tcPr>
            <w:tcW w:w="2626" w:type="dxa"/>
          </w:tcPr>
          <w:p w:rsidR="009A3AFE" w:rsidRDefault="009A3AFE" w:rsidP="009A3AFE">
            <w:pPr>
              <w:rPr>
                <w:sz w:val="20"/>
              </w:rPr>
            </w:pPr>
            <w:r>
              <w:rPr>
                <w:sz w:val="20"/>
              </w:rPr>
              <w:t>Other investment balances</w:t>
            </w:r>
          </w:p>
        </w:tc>
        <w:tc>
          <w:tcPr>
            <w:tcW w:w="518" w:type="dxa"/>
            <w:tcBorders>
              <w:right w:val="single" w:sz="18" w:space="0" w:color="FFFFFF" w:themeColor="background1"/>
            </w:tcBorders>
          </w:tcPr>
          <w:p w:rsidR="009A3AFE" w:rsidRDefault="009A3AFE" w:rsidP="009A3AFE">
            <w:pPr>
              <w:jc w:val="right"/>
              <w:rPr>
                <w:sz w:val="20"/>
              </w:rPr>
            </w:pPr>
          </w:p>
        </w:tc>
        <w:tc>
          <w:tcPr>
            <w:tcW w:w="1029" w:type="dxa"/>
            <w:tcBorders>
              <w:left w:val="single" w:sz="18" w:space="0" w:color="FFFFFF" w:themeColor="background1"/>
            </w:tcBorders>
          </w:tcPr>
          <w:p w:rsidR="009A3AFE" w:rsidRDefault="009A3AFE" w:rsidP="009A3AFE">
            <w:pPr>
              <w:jc w:val="right"/>
              <w:rPr>
                <w:sz w:val="20"/>
              </w:rPr>
            </w:pPr>
            <w:r>
              <w:rPr>
                <w:sz w:val="20"/>
              </w:rPr>
              <w:t>14.6</w:t>
            </w:r>
          </w:p>
        </w:tc>
        <w:tc>
          <w:tcPr>
            <w:tcW w:w="471" w:type="dxa"/>
            <w:tcBorders>
              <w:right w:val="single" w:sz="18" w:space="0" w:color="FFFFFF" w:themeColor="background1"/>
            </w:tcBorders>
          </w:tcPr>
          <w:p w:rsidR="009A3AFE" w:rsidRDefault="009A3AFE" w:rsidP="009A3AFE">
            <w:pPr>
              <w:jc w:val="right"/>
              <w:rPr>
                <w:sz w:val="20"/>
              </w:rPr>
            </w:pPr>
          </w:p>
        </w:tc>
        <w:tc>
          <w:tcPr>
            <w:tcW w:w="1103" w:type="dxa"/>
            <w:tcBorders>
              <w:left w:val="single" w:sz="18" w:space="0" w:color="FFFFFF" w:themeColor="background1"/>
            </w:tcBorders>
          </w:tcPr>
          <w:p w:rsidR="009A3AFE" w:rsidRDefault="009A3AFE" w:rsidP="009A3AFE">
            <w:pPr>
              <w:jc w:val="right"/>
              <w:rPr>
                <w:sz w:val="20"/>
              </w:rPr>
            </w:pPr>
          </w:p>
        </w:tc>
        <w:tc>
          <w:tcPr>
            <w:tcW w:w="1126" w:type="dxa"/>
            <w:gridSpan w:val="2"/>
            <w:tcBorders>
              <w:right w:val="single" w:sz="18" w:space="0" w:color="FFFFFF" w:themeColor="background1"/>
            </w:tcBorders>
          </w:tcPr>
          <w:p w:rsidR="009A3AFE" w:rsidRDefault="009A3AFE" w:rsidP="009A3AFE">
            <w:pPr>
              <w:jc w:val="right"/>
              <w:rPr>
                <w:sz w:val="20"/>
              </w:rPr>
            </w:pPr>
          </w:p>
        </w:tc>
        <w:tc>
          <w:tcPr>
            <w:tcW w:w="714" w:type="dxa"/>
            <w:tcBorders>
              <w:left w:val="single" w:sz="18" w:space="0" w:color="FFFFFF" w:themeColor="background1"/>
            </w:tcBorders>
          </w:tcPr>
          <w:p w:rsidR="009A3AFE" w:rsidRDefault="009A3AFE" w:rsidP="009A3AFE">
            <w:pPr>
              <w:jc w:val="right"/>
              <w:rPr>
                <w:sz w:val="20"/>
              </w:rPr>
            </w:pPr>
          </w:p>
        </w:tc>
        <w:tc>
          <w:tcPr>
            <w:tcW w:w="885" w:type="dxa"/>
            <w:tcBorders>
              <w:right w:val="single" w:sz="18" w:space="0" w:color="FFFFFF" w:themeColor="background1"/>
            </w:tcBorders>
          </w:tcPr>
          <w:p w:rsidR="009A3AFE" w:rsidRDefault="009A3AFE" w:rsidP="009A3AFE">
            <w:pPr>
              <w:jc w:val="right"/>
              <w:rPr>
                <w:sz w:val="20"/>
              </w:rPr>
            </w:pPr>
          </w:p>
        </w:tc>
        <w:tc>
          <w:tcPr>
            <w:tcW w:w="708" w:type="dxa"/>
            <w:tcBorders>
              <w:left w:val="single" w:sz="18" w:space="0" w:color="FFFFFF" w:themeColor="background1"/>
            </w:tcBorders>
          </w:tcPr>
          <w:p w:rsidR="009A3AFE" w:rsidRDefault="009A3AFE" w:rsidP="009A3AFE">
            <w:pPr>
              <w:jc w:val="right"/>
              <w:rPr>
                <w:sz w:val="20"/>
              </w:rPr>
            </w:pPr>
          </w:p>
        </w:tc>
        <w:tc>
          <w:tcPr>
            <w:tcW w:w="983" w:type="dxa"/>
            <w:gridSpan w:val="2"/>
            <w:tcBorders>
              <w:right w:val="single" w:sz="18" w:space="0" w:color="FFFFFF" w:themeColor="background1"/>
            </w:tcBorders>
          </w:tcPr>
          <w:p w:rsidR="009A3AFE" w:rsidRDefault="009A3AFE" w:rsidP="009A3AFE">
            <w:pPr>
              <w:jc w:val="right"/>
              <w:rPr>
                <w:sz w:val="20"/>
              </w:rPr>
            </w:pPr>
          </w:p>
        </w:tc>
        <w:tc>
          <w:tcPr>
            <w:tcW w:w="853" w:type="dxa"/>
            <w:tcBorders>
              <w:left w:val="single" w:sz="18" w:space="0" w:color="FFFFFF" w:themeColor="background1"/>
            </w:tcBorders>
          </w:tcPr>
          <w:p w:rsidR="009A3AFE" w:rsidRDefault="009A3AFE" w:rsidP="009A3AFE">
            <w:pPr>
              <w:jc w:val="right"/>
              <w:rPr>
                <w:sz w:val="20"/>
              </w:rPr>
            </w:pPr>
            <w:r>
              <w:rPr>
                <w:sz w:val="20"/>
              </w:rPr>
              <w:t>19.4</w:t>
            </w:r>
          </w:p>
        </w:tc>
      </w:tr>
      <w:tr w:rsidR="009A3AFE" w:rsidRPr="000E6955" w:rsidTr="005D1391">
        <w:tc>
          <w:tcPr>
            <w:tcW w:w="2626" w:type="dxa"/>
          </w:tcPr>
          <w:p w:rsidR="009A3AFE" w:rsidRDefault="009A3AFE" w:rsidP="009A3AFE">
            <w:pPr>
              <w:rPr>
                <w:sz w:val="20"/>
              </w:rPr>
            </w:pPr>
            <w:r>
              <w:rPr>
                <w:sz w:val="20"/>
              </w:rPr>
              <w:t>Amounts receivable from sales of investments</w:t>
            </w:r>
          </w:p>
        </w:tc>
        <w:tc>
          <w:tcPr>
            <w:tcW w:w="518" w:type="dxa"/>
            <w:tcBorders>
              <w:right w:val="single" w:sz="18" w:space="0" w:color="FFFFFF" w:themeColor="background1"/>
            </w:tcBorders>
          </w:tcPr>
          <w:p w:rsidR="009A3AFE" w:rsidRDefault="009A3AFE" w:rsidP="009A3AFE">
            <w:pPr>
              <w:jc w:val="right"/>
              <w:rPr>
                <w:sz w:val="20"/>
              </w:rPr>
            </w:pPr>
          </w:p>
        </w:tc>
        <w:tc>
          <w:tcPr>
            <w:tcW w:w="1029" w:type="dxa"/>
            <w:tcBorders>
              <w:left w:val="single" w:sz="18" w:space="0" w:color="FFFFFF" w:themeColor="background1"/>
            </w:tcBorders>
          </w:tcPr>
          <w:p w:rsidR="009A3AFE" w:rsidRDefault="009A3AFE" w:rsidP="009A3AFE">
            <w:pPr>
              <w:jc w:val="right"/>
              <w:rPr>
                <w:sz w:val="20"/>
              </w:rPr>
            </w:pPr>
          </w:p>
        </w:tc>
        <w:tc>
          <w:tcPr>
            <w:tcW w:w="471" w:type="dxa"/>
            <w:tcBorders>
              <w:right w:val="single" w:sz="18" w:space="0" w:color="FFFFFF" w:themeColor="background1"/>
            </w:tcBorders>
          </w:tcPr>
          <w:p w:rsidR="009A3AFE" w:rsidRDefault="009A3AFE" w:rsidP="009A3AFE">
            <w:pPr>
              <w:jc w:val="right"/>
              <w:rPr>
                <w:sz w:val="20"/>
              </w:rPr>
            </w:pPr>
          </w:p>
        </w:tc>
        <w:tc>
          <w:tcPr>
            <w:tcW w:w="1103" w:type="dxa"/>
            <w:tcBorders>
              <w:left w:val="single" w:sz="18" w:space="0" w:color="FFFFFF" w:themeColor="background1"/>
            </w:tcBorders>
          </w:tcPr>
          <w:p w:rsidR="009A3AFE" w:rsidRDefault="009A3AFE" w:rsidP="009A3AFE">
            <w:pPr>
              <w:jc w:val="right"/>
              <w:rPr>
                <w:sz w:val="20"/>
              </w:rPr>
            </w:pPr>
          </w:p>
        </w:tc>
        <w:tc>
          <w:tcPr>
            <w:tcW w:w="1126" w:type="dxa"/>
            <w:gridSpan w:val="2"/>
            <w:tcBorders>
              <w:right w:val="single" w:sz="18" w:space="0" w:color="FFFFFF" w:themeColor="background1"/>
            </w:tcBorders>
          </w:tcPr>
          <w:p w:rsidR="009A3AFE" w:rsidRDefault="009A3AFE" w:rsidP="009A3AFE">
            <w:pPr>
              <w:jc w:val="right"/>
              <w:rPr>
                <w:sz w:val="20"/>
              </w:rPr>
            </w:pPr>
          </w:p>
        </w:tc>
        <w:tc>
          <w:tcPr>
            <w:tcW w:w="714" w:type="dxa"/>
            <w:tcBorders>
              <w:left w:val="single" w:sz="18" w:space="0" w:color="FFFFFF" w:themeColor="background1"/>
            </w:tcBorders>
          </w:tcPr>
          <w:p w:rsidR="009A3AFE" w:rsidRDefault="009A3AFE" w:rsidP="009A3AFE">
            <w:pPr>
              <w:jc w:val="right"/>
              <w:rPr>
                <w:sz w:val="20"/>
              </w:rPr>
            </w:pPr>
          </w:p>
        </w:tc>
        <w:tc>
          <w:tcPr>
            <w:tcW w:w="885" w:type="dxa"/>
            <w:tcBorders>
              <w:right w:val="single" w:sz="18" w:space="0" w:color="FFFFFF" w:themeColor="background1"/>
            </w:tcBorders>
          </w:tcPr>
          <w:p w:rsidR="009A3AFE" w:rsidRDefault="009A3AFE" w:rsidP="009A3AFE">
            <w:pPr>
              <w:jc w:val="right"/>
              <w:rPr>
                <w:sz w:val="20"/>
              </w:rPr>
            </w:pPr>
          </w:p>
        </w:tc>
        <w:tc>
          <w:tcPr>
            <w:tcW w:w="708" w:type="dxa"/>
            <w:tcBorders>
              <w:left w:val="single" w:sz="18" w:space="0" w:color="FFFFFF" w:themeColor="background1"/>
            </w:tcBorders>
          </w:tcPr>
          <w:p w:rsidR="009A3AFE" w:rsidRDefault="009A3AFE" w:rsidP="009A3AFE">
            <w:pPr>
              <w:jc w:val="right"/>
              <w:rPr>
                <w:sz w:val="20"/>
              </w:rPr>
            </w:pPr>
          </w:p>
        </w:tc>
        <w:tc>
          <w:tcPr>
            <w:tcW w:w="983" w:type="dxa"/>
            <w:gridSpan w:val="2"/>
            <w:tcBorders>
              <w:right w:val="single" w:sz="18" w:space="0" w:color="FFFFFF" w:themeColor="background1"/>
            </w:tcBorders>
          </w:tcPr>
          <w:p w:rsidR="009A3AFE" w:rsidRDefault="009A3AFE" w:rsidP="009A3AFE">
            <w:pPr>
              <w:jc w:val="right"/>
              <w:rPr>
                <w:sz w:val="20"/>
              </w:rPr>
            </w:pPr>
          </w:p>
        </w:tc>
        <w:tc>
          <w:tcPr>
            <w:tcW w:w="853" w:type="dxa"/>
            <w:tcBorders>
              <w:left w:val="single" w:sz="18" w:space="0" w:color="FFFFFF" w:themeColor="background1"/>
            </w:tcBorders>
          </w:tcPr>
          <w:p w:rsidR="009A3AFE" w:rsidRDefault="009A3AFE" w:rsidP="009A3AFE">
            <w:pPr>
              <w:jc w:val="right"/>
              <w:rPr>
                <w:sz w:val="20"/>
              </w:rPr>
            </w:pPr>
          </w:p>
        </w:tc>
      </w:tr>
      <w:tr w:rsidR="009A3AFE" w:rsidRPr="000E6955" w:rsidTr="005D1391">
        <w:tc>
          <w:tcPr>
            <w:tcW w:w="2626" w:type="dxa"/>
          </w:tcPr>
          <w:p w:rsidR="009A3AFE" w:rsidRDefault="009A3AFE" w:rsidP="009A3AFE">
            <w:pPr>
              <w:rPr>
                <w:sz w:val="20"/>
              </w:rPr>
            </w:pPr>
            <w:r>
              <w:rPr>
                <w:sz w:val="20"/>
              </w:rPr>
              <w:t>Amounts payable for purchases of investments</w:t>
            </w:r>
          </w:p>
        </w:tc>
        <w:tc>
          <w:tcPr>
            <w:tcW w:w="518" w:type="dxa"/>
            <w:tcBorders>
              <w:bottom w:val="single" w:sz="18" w:space="0" w:color="auto"/>
              <w:right w:val="single" w:sz="18" w:space="0" w:color="FFFFFF" w:themeColor="background1"/>
            </w:tcBorders>
          </w:tcPr>
          <w:p w:rsidR="009A3AFE" w:rsidRDefault="009A3AFE" w:rsidP="009A3AFE">
            <w:pPr>
              <w:jc w:val="right"/>
              <w:rPr>
                <w:sz w:val="20"/>
              </w:rPr>
            </w:pPr>
          </w:p>
        </w:tc>
        <w:tc>
          <w:tcPr>
            <w:tcW w:w="1029" w:type="dxa"/>
            <w:tcBorders>
              <w:left w:val="single" w:sz="18" w:space="0" w:color="FFFFFF" w:themeColor="background1"/>
              <w:bottom w:val="single" w:sz="18" w:space="0" w:color="auto"/>
            </w:tcBorders>
          </w:tcPr>
          <w:p w:rsidR="009A3AFE" w:rsidRDefault="009A3AFE" w:rsidP="009A3AFE">
            <w:pPr>
              <w:jc w:val="right"/>
              <w:rPr>
                <w:sz w:val="20"/>
              </w:rPr>
            </w:pPr>
          </w:p>
        </w:tc>
        <w:tc>
          <w:tcPr>
            <w:tcW w:w="471" w:type="dxa"/>
            <w:tcBorders>
              <w:right w:val="single" w:sz="18" w:space="0" w:color="FFFFFF" w:themeColor="background1"/>
            </w:tcBorders>
          </w:tcPr>
          <w:p w:rsidR="009A3AFE" w:rsidRDefault="009A3AFE" w:rsidP="009A3AFE">
            <w:pPr>
              <w:jc w:val="right"/>
              <w:rPr>
                <w:sz w:val="20"/>
              </w:rPr>
            </w:pPr>
          </w:p>
        </w:tc>
        <w:tc>
          <w:tcPr>
            <w:tcW w:w="1103" w:type="dxa"/>
            <w:tcBorders>
              <w:left w:val="single" w:sz="18" w:space="0" w:color="FFFFFF" w:themeColor="background1"/>
            </w:tcBorders>
          </w:tcPr>
          <w:p w:rsidR="009A3AFE" w:rsidRDefault="009A3AFE" w:rsidP="009A3AFE">
            <w:pPr>
              <w:jc w:val="right"/>
              <w:rPr>
                <w:sz w:val="20"/>
              </w:rPr>
            </w:pPr>
          </w:p>
        </w:tc>
        <w:tc>
          <w:tcPr>
            <w:tcW w:w="1126" w:type="dxa"/>
            <w:gridSpan w:val="2"/>
            <w:tcBorders>
              <w:right w:val="single" w:sz="18" w:space="0" w:color="FFFFFF" w:themeColor="background1"/>
            </w:tcBorders>
          </w:tcPr>
          <w:p w:rsidR="009A3AFE" w:rsidRDefault="009A3AFE" w:rsidP="009A3AFE">
            <w:pPr>
              <w:jc w:val="right"/>
              <w:rPr>
                <w:sz w:val="20"/>
              </w:rPr>
            </w:pPr>
          </w:p>
        </w:tc>
        <w:tc>
          <w:tcPr>
            <w:tcW w:w="714" w:type="dxa"/>
            <w:tcBorders>
              <w:left w:val="single" w:sz="18" w:space="0" w:color="FFFFFF" w:themeColor="background1"/>
            </w:tcBorders>
          </w:tcPr>
          <w:p w:rsidR="009A3AFE" w:rsidRDefault="009A3AFE" w:rsidP="009A3AFE">
            <w:pPr>
              <w:jc w:val="right"/>
              <w:rPr>
                <w:sz w:val="20"/>
              </w:rPr>
            </w:pPr>
          </w:p>
        </w:tc>
        <w:tc>
          <w:tcPr>
            <w:tcW w:w="885" w:type="dxa"/>
            <w:tcBorders>
              <w:right w:val="single" w:sz="18" w:space="0" w:color="FFFFFF" w:themeColor="background1"/>
            </w:tcBorders>
          </w:tcPr>
          <w:p w:rsidR="009A3AFE" w:rsidRDefault="009A3AFE" w:rsidP="009A3AFE">
            <w:pPr>
              <w:jc w:val="right"/>
              <w:rPr>
                <w:sz w:val="20"/>
              </w:rPr>
            </w:pPr>
          </w:p>
        </w:tc>
        <w:tc>
          <w:tcPr>
            <w:tcW w:w="708" w:type="dxa"/>
            <w:tcBorders>
              <w:left w:val="single" w:sz="18" w:space="0" w:color="FFFFFF" w:themeColor="background1"/>
            </w:tcBorders>
          </w:tcPr>
          <w:p w:rsidR="009A3AFE" w:rsidRDefault="009A3AFE" w:rsidP="009A3AFE">
            <w:pPr>
              <w:jc w:val="right"/>
              <w:rPr>
                <w:sz w:val="20"/>
              </w:rPr>
            </w:pPr>
          </w:p>
        </w:tc>
        <w:tc>
          <w:tcPr>
            <w:tcW w:w="983" w:type="dxa"/>
            <w:gridSpan w:val="2"/>
            <w:tcBorders>
              <w:bottom w:val="single" w:sz="18" w:space="0" w:color="auto"/>
              <w:right w:val="single" w:sz="18" w:space="0" w:color="FFFFFF" w:themeColor="background1"/>
            </w:tcBorders>
          </w:tcPr>
          <w:p w:rsidR="009A3AFE" w:rsidRDefault="009A3AFE" w:rsidP="009A3AFE">
            <w:pPr>
              <w:jc w:val="right"/>
              <w:rPr>
                <w:sz w:val="20"/>
              </w:rPr>
            </w:pPr>
          </w:p>
        </w:tc>
        <w:tc>
          <w:tcPr>
            <w:tcW w:w="853" w:type="dxa"/>
            <w:tcBorders>
              <w:left w:val="single" w:sz="18" w:space="0" w:color="FFFFFF" w:themeColor="background1"/>
              <w:bottom w:val="single" w:sz="18" w:space="0" w:color="auto"/>
            </w:tcBorders>
          </w:tcPr>
          <w:p w:rsidR="009A3AFE" w:rsidRDefault="009A3AFE" w:rsidP="009A3AFE">
            <w:pPr>
              <w:jc w:val="right"/>
              <w:rPr>
                <w:sz w:val="20"/>
              </w:rPr>
            </w:pPr>
          </w:p>
        </w:tc>
      </w:tr>
      <w:tr w:rsidR="009A3AFE" w:rsidRPr="000E6955" w:rsidTr="005D1391">
        <w:tc>
          <w:tcPr>
            <w:tcW w:w="2626" w:type="dxa"/>
          </w:tcPr>
          <w:p w:rsidR="009A3AFE" w:rsidRDefault="009A3AFE" w:rsidP="009A3AFE">
            <w:pPr>
              <w:rPr>
                <w:sz w:val="20"/>
              </w:rPr>
            </w:pPr>
          </w:p>
        </w:tc>
        <w:tc>
          <w:tcPr>
            <w:tcW w:w="518" w:type="dxa"/>
            <w:tcBorders>
              <w:top w:val="single" w:sz="18" w:space="0" w:color="auto"/>
              <w:bottom w:val="single" w:sz="18" w:space="0" w:color="auto"/>
              <w:right w:val="single" w:sz="18" w:space="0" w:color="FFFFFF" w:themeColor="background1"/>
            </w:tcBorders>
          </w:tcPr>
          <w:p w:rsidR="009A3AFE" w:rsidRDefault="009A3AFE" w:rsidP="009A3AFE">
            <w:pPr>
              <w:jc w:val="right"/>
              <w:rPr>
                <w:sz w:val="20"/>
              </w:rPr>
            </w:pPr>
          </w:p>
        </w:tc>
        <w:tc>
          <w:tcPr>
            <w:tcW w:w="1029" w:type="dxa"/>
            <w:tcBorders>
              <w:top w:val="single" w:sz="18" w:space="0" w:color="auto"/>
              <w:left w:val="single" w:sz="18" w:space="0" w:color="FFFFFF" w:themeColor="background1"/>
              <w:bottom w:val="single" w:sz="18" w:space="0" w:color="auto"/>
            </w:tcBorders>
          </w:tcPr>
          <w:p w:rsidR="009A3AFE" w:rsidRDefault="009A3AFE" w:rsidP="009A3AFE">
            <w:pPr>
              <w:jc w:val="right"/>
              <w:rPr>
                <w:sz w:val="20"/>
              </w:rPr>
            </w:pPr>
            <w:r>
              <w:rPr>
                <w:sz w:val="20"/>
              </w:rPr>
              <w:t>4,281.2</w:t>
            </w:r>
          </w:p>
        </w:tc>
        <w:tc>
          <w:tcPr>
            <w:tcW w:w="471" w:type="dxa"/>
            <w:tcBorders>
              <w:right w:val="single" w:sz="18" w:space="0" w:color="FFFFFF" w:themeColor="background1"/>
            </w:tcBorders>
          </w:tcPr>
          <w:p w:rsidR="009A3AFE" w:rsidRDefault="009A3AFE" w:rsidP="009A3AFE">
            <w:pPr>
              <w:jc w:val="right"/>
              <w:rPr>
                <w:sz w:val="20"/>
              </w:rPr>
            </w:pPr>
          </w:p>
        </w:tc>
        <w:tc>
          <w:tcPr>
            <w:tcW w:w="1103" w:type="dxa"/>
            <w:tcBorders>
              <w:left w:val="single" w:sz="18" w:space="0" w:color="FFFFFF" w:themeColor="background1"/>
            </w:tcBorders>
          </w:tcPr>
          <w:p w:rsidR="009A3AFE" w:rsidRDefault="009A3AFE" w:rsidP="009A3AFE">
            <w:pPr>
              <w:jc w:val="right"/>
              <w:rPr>
                <w:sz w:val="20"/>
              </w:rPr>
            </w:pPr>
          </w:p>
        </w:tc>
        <w:tc>
          <w:tcPr>
            <w:tcW w:w="1126" w:type="dxa"/>
            <w:gridSpan w:val="2"/>
            <w:tcBorders>
              <w:right w:val="single" w:sz="18" w:space="0" w:color="FFFFFF" w:themeColor="background1"/>
            </w:tcBorders>
          </w:tcPr>
          <w:p w:rsidR="009A3AFE" w:rsidRDefault="009A3AFE" w:rsidP="009A3AFE">
            <w:pPr>
              <w:jc w:val="right"/>
              <w:rPr>
                <w:sz w:val="20"/>
              </w:rPr>
            </w:pPr>
          </w:p>
        </w:tc>
        <w:tc>
          <w:tcPr>
            <w:tcW w:w="714" w:type="dxa"/>
            <w:tcBorders>
              <w:left w:val="single" w:sz="18" w:space="0" w:color="FFFFFF" w:themeColor="background1"/>
            </w:tcBorders>
          </w:tcPr>
          <w:p w:rsidR="009A3AFE" w:rsidRDefault="009A3AFE" w:rsidP="009A3AFE">
            <w:pPr>
              <w:jc w:val="right"/>
              <w:rPr>
                <w:sz w:val="20"/>
              </w:rPr>
            </w:pPr>
          </w:p>
        </w:tc>
        <w:tc>
          <w:tcPr>
            <w:tcW w:w="885" w:type="dxa"/>
            <w:tcBorders>
              <w:right w:val="single" w:sz="18" w:space="0" w:color="FFFFFF" w:themeColor="background1"/>
            </w:tcBorders>
          </w:tcPr>
          <w:p w:rsidR="009A3AFE" w:rsidRDefault="009A3AFE" w:rsidP="009A3AFE">
            <w:pPr>
              <w:jc w:val="right"/>
              <w:rPr>
                <w:sz w:val="20"/>
              </w:rPr>
            </w:pPr>
          </w:p>
        </w:tc>
        <w:tc>
          <w:tcPr>
            <w:tcW w:w="708" w:type="dxa"/>
            <w:tcBorders>
              <w:left w:val="single" w:sz="18" w:space="0" w:color="FFFFFF" w:themeColor="background1"/>
            </w:tcBorders>
          </w:tcPr>
          <w:p w:rsidR="009A3AFE" w:rsidRDefault="009A3AFE" w:rsidP="009A3AFE">
            <w:pPr>
              <w:jc w:val="right"/>
              <w:rPr>
                <w:sz w:val="20"/>
              </w:rPr>
            </w:pPr>
          </w:p>
        </w:tc>
        <w:tc>
          <w:tcPr>
            <w:tcW w:w="1836" w:type="dxa"/>
            <w:gridSpan w:val="3"/>
            <w:tcBorders>
              <w:top w:val="single" w:sz="18" w:space="0" w:color="auto"/>
              <w:bottom w:val="single" w:sz="18" w:space="0" w:color="auto"/>
            </w:tcBorders>
          </w:tcPr>
          <w:p w:rsidR="009A3AFE" w:rsidRDefault="009A3AFE" w:rsidP="009A3AFE">
            <w:pPr>
              <w:jc w:val="right"/>
              <w:rPr>
                <w:sz w:val="20"/>
              </w:rPr>
            </w:pPr>
            <w:r>
              <w:rPr>
                <w:sz w:val="20"/>
              </w:rPr>
              <w:t>4,359.9</w:t>
            </w:r>
          </w:p>
        </w:tc>
      </w:tr>
    </w:tbl>
    <w:p w:rsidR="009A3AFE" w:rsidRDefault="009A3AFE" w:rsidP="009A3AFE">
      <w:pPr>
        <w:spacing w:after="120"/>
        <w:rPr>
          <w:szCs w:val="24"/>
        </w:rPr>
      </w:pPr>
    </w:p>
    <w:p w:rsidR="009A3AFE" w:rsidRDefault="009A3AFE" w:rsidP="009A3AFE">
      <w:pPr>
        <w:spacing w:after="120"/>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14"/>
        <w:gridCol w:w="396"/>
        <w:gridCol w:w="1040"/>
        <w:gridCol w:w="421"/>
        <w:gridCol w:w="1052"/>
        <w:gridCol w:w="404"/>
        <w:gridCol w:w="1047"/>
        <w:gridCol w:w="398"/>
        <w:gridCol w:w="994"/>
        <w:gridCol w:w="373"/>
        <w:gridCol w:w="1065"/>
      </w:tblGrid>
      <w:tr w:rsidR="009A3AFE" w:rsidRPr="008B5FD4" w:rsidTr="000A3FCD">
        <w:tc>
          <w:tcPr>
            <w:tcW w:w="2714" w:type="dxa"/>
          </w:tcPr>
          <w:p w:rsidR="009A3AFE" w:rsidRPr="008B5FD4" w:rsidRDefault="009A3AFE" w:rsidP="009A3AFE">
            <w:pPr>
              <w:rPr>
                <w:b/>
                <w:sz w:val="20"/>
              </w:rPr>
            </w:pPr>
          </w:p>
        </w:tc>
        <w:tc>
          <w:tcPr>
            <w:tcW w:w="1436" w:type="dxa"/>
            <w:gridSpan w:val="2"/>
          </w:tcPr>
          <w:p w:rsidR="009A3AFE" w:rsidRDefault="009A3AFE" w:rsidP="009A3AFE">
            <w:pPr>
              <w:jc w:val="right"/>
              <w:rPr>
                <w:b/>
                <w:sz w:val="20"/>
              </w:rPr>
            </w:pPr>
            <w:r w:rsidRPr="008B5FD4">
              <w:rPr>
                <w:b/>
                <w:sz w:val="20"/>
              </w:rPr>
              <w:t>Market Value at 1 April</w:t>
            </w:r>
          </w:p>
          <w:p w:rsidR="009A3AFE" w:rsidRPr="008B5FD4" w:rsidRDefault="009A3AFE" w:rsidP="009A3AFE">
            <w:pPr>
              <w:jc w:val="right"/>
              <w:rPr>
                <w:b/>
                <w:sz w:val="20"/>
              </w:rPr>
            </w:pPr>
            <w:r w:rsidRPr="008B5FD4">
              <w:rPr>
                <w:b/>
                <w:sz w:val="20"/>
              </w:rPr>
              <w:t xml:space="preserve"> 201</w:t>
            </w:r>
            <w:r>
              <w:rPr>
                <w:b/>
                <w:sz w:val="20"/>
              </w:rPr>
              <w:t>0</w:t>
            </w:r>
          </w:p>
        </w:tc>
        <w:tc>
          <w:tcPr>
            <w:tcW w:w="1473" w:type="dxa"/>
            <w:gridSpan w:val="2"/>
          </w:tcPr>
          <w:p w:rsidR="009A3AFE" w:rsidRPr="008B5FD4" w:rsidRDefault="009A3AFE" w:rsidP="009A3AFE">
            <w:pPr>
              <w:jc w:val="right"/>
              <w:rPr>
                <w:b/>
                <w:sz w:val="20"/>
              </w:rPr>
            </w:pPr>
            <w:r w:rsidRPr="008B5FD4">
              <w:rPr>
                <w:b/>
                <w:sz w:val="20"/>
              </w:rPr>
              <w:t>Purchases at cost and derivative payments</w:t>
            </w:r>
          </w:p>
        </w:tc>
        <w:tc>
          <w:tcPr>
            <w:tcW w:w="1451" w:type="dxa"/>
            <w:gridSpan w:val="2"/>
          </w:tcPr>
          <w:p w:rsidR="009A3AFE" w:rsidRPr="008B5FD4" w:rsidRDefault="009A3AFE" w:rsidP="009A3AFE">
            <w:pPr>
              <w:jc w:val="right"/>
              <w:rPr>
                <w:b/>
                <w:sz w:val="20"/>
              </w:rPr>
            </w:pPr>
            <w:r w:rsidRPr="008B5FD4">
              <w:rPr>
                <w:b/>
                <w:sz w:val="20"/>
              </w:rPr>
              <w:t>Sales proceeds and derivative receipts</w:t>
            </w:r>
          </w:p>
        </w:tc>
        <w:tc>
          <w:tcPr>
            <w:tcW w:w="1392" w:type="dxa"/>
            <w:gridSpan w:val="2"/>
          </w:tcPr>
          <w:p w:rsidR="009A3AFE" w:rsidRPr="008B5FD4" w:rsidRDefault="009A3AFE" w:rsidP="009A3AFE">
            <w:pPr>
              <w:jc w:val="right"/>
              <w:rPr>
                <w:b/>
                <w:sz w:val="20"/>
              </w:rPr>
            </w:pPr>
            <w:r w:rsidRPr="008B5FD4">
              <w:rPr>
                <w:b/>
                <w:sz w:val="20"/>
              </w:rPr>
              <w:t>Change in market value</w:t>
            </w:r>
          </w:p>
        </w:tc>
        <w:tc>
          <w:tcPr>
            <w:tcW w:w="1438" w:type="dxa"/>
            <w:gridSpan w:val="2"/>
          </w:tcPr>
          <w:p w:rsidR="009A3AFE" w:rsidRPr="008B5FD4" w:rsidRDefault="009A3AFE" w:rsidP="009A3AFE">
            <w:pPr>
              <w:jc w:val="right"/>
              <w:rPr>
                <w:b/>
                <w:sz w:val="20"/>
              </w:rPr>
            </w:pPr>
            <w:r>
              <w:rPr>
                <w:b/>
                <w:sz w:val="20"/>
              </w:rPr>
              <w:t>Market value at 31 March 2011</w:t>
            </w:r>
          </w:p>
        </w:tc>
      </w:tr>
      <w:tr w:rsidR="009A3AFE" w:rsidRPr="008B5FD4" w:rsidTr="000A3FCD">
        <w:tc>
          <w:tcPr>
            <w:tcW w:w="2714" w:type="dxa"/>
          </w:tcPr>
          <w:p w:rsidR="009A3AFE" w:rsidRPr="008B5FD4" w:rsidRDefault="009A3AFE" w:rsidP="009A3AFE">
            <w:pPr>
              <w:rPr>
                <w:b/>
                <w:sz w:val="20"/>
              </w:rPr>
            </w:pPr>
          </w:p>
        </w:tc>
        <w:tc>
          <w:tcPr>
            <w:tcW w:w="1436" w:type="dxa"/>
            <w:gridSpan w:val="2"/>
          </w:tcPr>
          <w:p w:rsidR="009A3AFE" w:rsidRPr="008B5FD4" w:rsidRDefault="009A3AFE" w:rsidP="009A3AFE">
            <w:pPr>
              <w:jc w:val="right"/>
              <w:rPr>
                <w:b/>
                <w:sz w:val="20"/>
              </w:rPr>
            </w:pPr>
            <w:r w:rsidRPr="008B5FD4">
              <w:rPr>
                <w:b/>
                <w:sz w:val="20"/>
              </w:rPr>
              <w:t>£m</w:t>
            </w:r>
          </w:p>
        </w:tc>
        <w:tc>
          <w:tcPr>
            <w:tcW w:w="1473" w:type="dxa"/>
            <w:gridSpan w:val="2"/>
          </w:tcPr>
          <w:p w:rsidR="009A3AFE" w:rsidRPr="008B5FD4" w:rsidRDefault="009A3AFE" w:rsidP="009A3AFE">
            <w:pPr>
              <w:jc w:val="right"/>
              <w:rPr>
                <w:b/>
                <w:sz w:val="20"/>
              </w:rPr>
            </w:pPr>
            <w:r w:rsidRPr="008B5FD4">
              <w:rPr>
                <w:b/>
                <w:sz w:val="20"/>
              </w:rPr>
              <w:t>£m</w:t>
            </w:r>
          </w:p>
        </w:tc>
        <w:tc>
          <w:tcPr>
            <w:tcW w:w="1451" w:type="dxa"/>
            <w:gridSpan w:val="2"/>
          </w:tcPr>
          <w:p w:rsidR="009A3AFE" w:rsidRPr="008B5FD4" w:rsidRDefault="009A3AFE" w:rsidP="009A3AFE">
            <w:pPr>
              <w:jc w:val="right"/>
              <w:rPr>
                <w:b/>
                <w:sz w:val="20"/>
              </w:rPr>
            </w:pPr>
            <w:r w:rsidRPr="008B5FD4">
              <w:rPr>
                <w:b/>
                <w:sz w:val="20"/>
              </w:rPr>
              <w:t>£m</w:t>
            </w:r>
          </w:p>
        </w:tc>
        <w:tc>
          <w:tcPr>
            <w:tcW w:w="1392" w:type="dxa"/>
            <w:gridSpan w:val="2"/>
          </w:tcPr>
          <w:p w:rsidR="009A3AFE" w:rsidRPr="008B5FD4" w:rsidRDefault="009A3AFE" w:rsidP="009A3AFE">
            <w:pPr>
              <w:jc w:val="right"/>
              <w:rPr>
                <w:b/>
                <w:sz w:val="20"/>
              </w:rPr>
            </w:pPr>
            <w:r w:rsidRPr="008B5FD4">
              <w:rPr>
                <w:b/>
                <w:sz w:val="20"/>
              </w:rPr>
              <w:t>£m</w:t>
            </w:r>
          </w:p>
        </w:tc>
        <w:tc>
          <w:tcPr>
            <w:tcW w:w="1438" w:type="dxa"/>
            <w:gridSpan w:val="2"/>
          </w:tcPr>
          <w:p w:rsidR="009A3AFE" w:rsidRDefault="009A3AFE" w:rsidP="009A3AFE">
            <w:pPr>
              <w:jc w:val="right"/>
              <w:rPr>
                <w:b/>
                <w:sz w:val="20"/>
              </w:rPr>
            </w:pPr>
            <w:r w:rsidRPr="008B5FD4">
              <w:rPr>
                <w:b/>
                <w:sz w:val="20"/>
              </w:rPr>
              <w:t>£m</w:t>
            </w:r>
          </w:p>
          <w:p w:rsidR="009A3AFE" w:rsidRPr="008B5FD4" w:rsidRDefault="009A3AFE" w:rsidP="009A3AFE">
            <w:pPr>
              <w:jc w:val="right"/>
              <w:rPr>
                <w:b/>
                <w:sz w:val="20"/>
              </w:rPr>
            </w:pPr>
          </w:p>
        </w:tc>
      </w:tr>
      <w:tr w:rsidR="009A3AFE" w:rsidRPr="000E6955" w:rsidTr="000A3FCD">
        <w:tc>
          <w:tcPr>
            <w:tcW w:w="2714" w:type="dxa"/>
          </w:tcPr>
          <w:p w:rsidR="009A3AFE" w:rsidRPr="000E6955" w:rsidRDefault="009A3AFE" w:rsidP="009A3AFE">
            <w:pPr>
              <w:rPr>
                <w:sz w:val="20"/>
              </w:rPr>
            </w:pPr>
            <w:r>
              <w:rPr>
                <w:sz w:val="20"/>
              </w:rPr>
              <w:t>Fixed  interest securities</w:t>
            </w:r>
          </w:p>
        </w:tc>
        <w:tc>
          <w:tcPr>
            <w:tcW w:w="396" w:type="dxa"/>
            <w:tcBorders>
              <w:right w:val="single" w:sz="18" w:space="0" w:color="FFFFFF" w:themeColor="background1"/>
            </w:tcBorders>
          </w:tcPr>
          <w:p w:rsidR="009A3AFE" w:rsidRDefault="009A3AFE" w:rsidP="009A3AFE">
            <w:pPr>
              <w:jc w:val="right"/>
              <w:rPr>
                <w:sz w:val="20"/>
              </w:rPr>
            </w:pPr>
          </w:p>
        </w:tc>
        <w:tc>
          <w:tcPr>
            <w:tcW w:w="1040" w:type="dxa"/>
            <w:tcBorders>
              <w:left w:val="single" w:sz="18" w:space="0" w:color="FFFFFF" w:themeColor="background1"/>
            </w:tcBorders>
          </w:tcPr>
          <w:p w:rsidR="009A3AFE" w:rsidRDefault="009A3AFE" w:rsidP="009A3AFE">
            <w:pPr>
              <w:jc w:val="right"/>
              <w:rPr>
                <w:sz w:val="20"/>
              </w:rPr>
            </w:pPr>
            <w:r>
              <w:rPr>
                <w:sz w:val="20"/>
              </w:rPr>
              <w:t>448.1</w:t>
            </w:r>
          </w:p>
        </w:tc>
        <w:tc>
          <w:tcPr>
            <w:tcW w:w="421" w:type="dxa"/>
            <w:tcBorders>
              <w:right w:val="single" w:sz="18" w:space="0" w:color="FFFFFF" w:themeColor="background1"/>
            </w:tcBorders>
          </w:tcPr>
          <w:p w:rsidR="009A3AFE" w:rsidRDefault="009A3AFE" w:rsidP="009A3AFE">
            <w:pPr>
              <w:jc w:val="right"/>
              <w:rPr>
                <w:sz w:val="20"/>
              </w:rPr>
            </w:pPr>
          </w:p>
        </w:tc>
        <w:tc>
          <w:tcPr>
            <w:tcW w:w="1052" w:type="dxa"/>
            <w:tcBorders>
              <w:left w:val="single" w:sz="18" w:space="0" w:color="FFFFFF" w:themeColor="background1"/>
            </w:tcBorders>
          </w:tcPr>
          <w:p w:rsidR="009A3AFE" w:rsidRDefault="009A3AFE" w:rsidP="009A3AFE">
            <w:pPr>
              <w:jc w:val="right"/>
              <w:rPr>
                <w:sz w:val="20"/>
              </w:rPr>
            </w:pPr>
            <w:r>
              <w:rPr>
                <w:sz w:val="20"/>
              </w:rPr>
              <w:t>406.4</w:t>
            </w:r>
          </w:p>
        </w:tc>
        <w:tc>
          <w:tcPr>
            <w:tcW w:w="404" w:type="dxa"/>
            <w:tcBorders>
              <w:right w:val="single" w:sz="18" w:space="0" w:color="FFFFFF" w:themeColor="background1"/>
            </w:tcBorders>
          </w:tcPr>
          <w:p w:rsidR="009A3AFE" w:rsidRDefault="009A3AFE" w:rsidP="009A3AFE">
            <w:pPr>
              <w:jc w:val="right"/>
              <w:rPr>
                <w:sz w:val="20"/>
              </w:rPr>
            </w:pPr>
          </w:p>
        </w:tc>
        <w:tc>
          <w:tcPr>
            <w:tcW w:w="1047" w:type="dxa"/>
            <w:tcBorders>
              <w:left w:val="single" w:sz="18" w:space="0" w:color="FFFFFF" w:themeColor="background1"/>
            </w:tcBorders>
          </w:tcPr>
          <w:p w:rsidR="009A3AFE" w:rsidRDefault="00BD2A79" w:rsidP="009A3AFE">
            <w:pPr>
              <w:jc w:val="right"/>
              <w:rPr>
                <w:sz w:val="20"/>
              </w:rPr>
            </w:pPr>
            <w:r>
              <w:rPr>
                <w:sz w:val="20"/>
              </w:rPr>
              <w:t>(</w:t>
            </w:r>
            <w:r w:rsidR="009A3AFE">
              <w:rPr>
                <w:sz w:val="20"/>
              </w:rPr>
              <w:t>295.5</w:t>
            </w:r>
            <w:r>
              <w:rPr>
                <w:sz w:val="20"/>
              </w:rPr>
              <w:t>)</w:t>
            </w:r>
          </w:p>
        </w:tc>
        <w:tc>
          <w:tcPr>
            <w:tcW w:w="398" w:type="dxa"/>
            <w:tcBorders>
              <w:right w:val="single" w:sz="18" w:space="0" w:color="FFFFFF" w:themeColor="background1"/>
            </w:tcBorders>
          </w:tcPr>
          <w:p w:rsidR="009A3AFE" w:rsidRDefault="009A3AFE" w:rsidP="009A3AFE">
            <w:pPr>
              <w:jc w:val="right"/>
              <w:rPr>
                <w:sz w:val="20"/>
              </w:rPr>
            </w:pPr>
          </w:p>
        </w:tc>
        <w:tc>
          <w:tcPr>
            <w:tcW w:w="994" w:type="dxa"/>
            <w:tcBorders>
              <w:left w:val="single" w:sz="18" w:space="0" w:color="FFFFFF" w:themeColor="background1"/>
            </w:tcBorders>
          </w:tcPr>
          <w:p w:rsidR="009A3AFE" w:rsidRDefault="009A3AFE" w:rsidP="009A3AFE">
            <w:pPr>
              <w:jc w:val="right"/>
              <w:rPr>
                <w:sz w:val="20"/>
              </w:rPr>
            </w:pPr>
            <w:r>
              <w:rPr>
                <w:sz w:val="20"/>
              </w:rPr>
              <w:t>0.1</w:t>
            </w:r>
          </w:p>
        </w:tc>
        <w:tc>
          <w:tcPr>
            <w:tcW w:w="373" w:type="dxa"/>
            <w:tcBorders>
              <w:right w:val="single" w:sz="18" w:space="0" w:color="FFFFFF" w:themeColor="background1"/>
            </w:tcBorders>
          </w:tcPr>
          <w:p w:rsidR="009A3AFE" w:rsidRDefault="009A3AFE" w:rsidP="009A3AFE">
            <w:pPr>
              <w:jc w:val="right"/>
              <w:rPr>
                <w:sz w:val="20"/>
              </w:rPr>
            </w:pPr>
          </w:p>
        </w:tc>
        <w:tc>
          <w:tcPr>
            <w:tcW w:w="1065" w:type="dxa"/>
            <w:tcBorders>
              <w:left w:val="single" w:sz="18" w:space="0" w:color="FFFFFF" w:themeColor="background1"/>
            </w:tcBorders>
          </w:tcPr>
          <w:p w:rsidR="009A3AFE" w:rsidRDefault="009A3AFE" w:rsidP="009A3AFE">
            <w:pPr>
              <w:jc w:val="right"/>
              <w:rPr>
                <w:sz w:val="20"/>
              </w:rPr>
            </w:pPr>
            <w:r>
              <w:rPr>
                <w:sz w:val="20"/>
              </w:rPr>
              <w:t>559.1</w:t>
            </w:r>
          </w:p>
        </w:tc>
      </w:tr>
      <w:tr w:rsidR="009A3AFE" w:rsidRPr="000E6955" w:rsidTr="000A3FCD">
        <w:tc>
          <w:tcPr>
            <w:tcW w:w="2714" w:type="dxa"/>
          </w:tcPr>
          <w:p w:rsidR="009A3AFE" w:rsidRDefault="009A3AFE" w:rsidP="009A3AFE">
            <w:pPr>
              <w:rPr>
                <w:sz w:val="20"/>
              </w:rPr>
            </w:pPr>
            <w:r>
              <w:rPr>
                <w:sz w:val="20"/>
              </w:rPr>
              <w:t>Equities</w:t>
            </w:r>
          </w:p>
        </w:tc>
        <w:tc>
          <w:tcPr>
            <w:tcW w:w="396" w:type="dxa"/>
            <w:tcBorders>
              <w:right w:val="single" w:sz="18" w:space="0" w:color="FFFFFF" w:themeColor="background1"/>
            </w:tcBorders>
          </w:tcPr>
          <w:p w:rsidR="009A3AFE" w:rsidRDefault="009A3AFE" w:rsidP="009A3AFE">
            <w:pPr>
              <w:jc w:val="right"/>
              <w:rPr>
                <w:sz w:val="20"/>
              </w:rPr>
            </w:pPr>
          </w:p>
        </w:tc>
        <w:tc>
          <w:tcPr>
            <w:tcW w:w="1040" w:type="dxa"/>
            <w:tcBorders>
              <w:left w:val="single" w:sz="18" w:space="0" w:color="FFFFFF" w:themeColor="background1"/>
            </w:tcBorders>
          </w:tcPr>
          <w:p w:rsidR="009A3AFE" w:rsidRDefault="009A3AFE" w:rsidP="009A3AFE">
            <w:pPr>
              <w:jc w:val="right"/>
              <w:rPr>
                <w:sz w:val="20"/>
              </w:rPr>
            </w:pPr>
            <w:r>
              <w:rPr>
                <w:sz w:val="20"/>
              </w:rPr>
              <w:t>1,011.7</w:t>
            </w:r>
          </w:p>
        </w:tc>
        <w:tc>
          <w:tcPr>
            <w:tcW w:w="421" w:type="dxa"/>
            <w:tcBorders>
              <w:right w:val="single" w:sz="18" w:space="0" w:color="FFFFFF" w:themeColor="background1"/>
            </w:tcBorders>
          </w:tcPr>
          <w:p w:rsidR="009A3AFE" w:rsidRDefault="009A3AFE" w:rsidP="009A3AFE">
            <w:pPr>
              <w:jc w:val="right"/>
              <w:rPr>
                <w:sz w:val="20"/>
              </w:rPr>
            </w:pPr>
          </w:p>
        </w:tc>
        <w:tc>
          <w:tcPr>
            <w:tcW w:w="1052" w:type="dxa"/>
            <w:tcBorders>
              <w:left w:val="single" w:sz="18" w:space="0" w:color="FFFFFF" w:themeColor="background1"/>
            </w:tcBorders>
          </w:tcPr>
          <w:p w:rsidR="009A3AFE" w:rsidRDefault="009A3AFE" w:rsidP="009A3AFE">
            <w:pPr>
              <w:jc w:val="right"/>
              <w:rPr>
                <w:sz w:val="20"/>
              </w:rPr>
            </w:pPr>
            <w:r>
              <w:rPr>
                <w:sz w:val="20"/>
              </w:rPr>
              <w:t>1,090.4</w:t>
            </w:r>
          </w:p>
        </w:tc>
        <w:tc>
          <w:tcPr>
            <w:tcW w:w="404" w:type="dxa"/>
            <w:tcBorders>
              <w:right w:val="single" w:sz="18" w:space="0" w:color="FFFFFF" w:themeColor="background1"/>
            </w:tcBorders>
          </w:tcPr>
          <w:p w:rsidR="009A3AFE" w:rsidRDefault="009A3AFE" w:rsidP="009A3AFE">
            <w:pPr>
              <w:jc w:val="right"/>
              <w:rPr>
                <w:sz w:val="20"/>
              </w:rPr>
            </w:pPr>
          </w:p>
        </w:tc>
        <w:tc>
          <w:tcPr>
            <w:tcW w:w="1047" w:type="dxa"/>
            <w:tcBorders>
              <w:left w:val="single" w:sz="18" w:space="0" w:color="FFFFFF" w:themeColor="background1"/>
            </w:tcBorders>
          </w:tcPr>
          <w:p w:rsidR="009A3AFE" w:rsidRDefault="00BD2A79" w:rsidP="009A3AFE">
            <w:pPr>
              <w:jc w:val="right"/>
              <w:rPr>
                <w:sz w:val="20"/>
              </w:rPr>
            </w:pPr>
            <w:r>
              <w:rPr>
                <w:sz w:val="20"/>
              </w:rPr>
              <w:t>(</w:t>
            </w:r>
            <w:r w:rsidR="009A3AFE">
              <w:rPr>
                <w:sz w:val="20"/>
              </w:rPr>
              <w:t>442.2</w:t>
            </w:r>
            <w:r>
              <w:rPr>
                <w:sz w:val="20"/>
              </w:rPr>
              <w:t>)</w:t>
            </w:r>
          </w:p>
        </w:tc>
        <w:tc>
          <w:tcPr>
            <w:tcW w:w="398" w:type="dxa"/>
            <w:tcBorders>
              <w:right w:val="single" w:sz="18" w:space="0" w:color="FFFFFF" w:themeColor="background1"/>
            </w:tcBorders>
          </w:tcPr>
          <w:p w:rsidR="009A3AFE" w:rsidRDefault="009A3AFE" w:rsidP="009A3AFE">
            <w:pPr>
              <w:jc w:val="right"/>
              <w:rPr>
                <w:sz w:val="20"/>
              </w:rPr>
            </w:pPr>
          </w:p>
        </w:tc>
        <w:tc>
          <w:tcPr>
            <w:tcW w:w="994" w:type="dxa"/>
            <w:tcBorders>
              <w:left w:val="single" w:sz="18" w:space="0" w:color="FFFFFF" w:themeColor="background1"/>
            </w:tcBorders>
          </w:tcPr>
          <w:p w:rsidR="009A3AFE" w:rsidRDefault="009A3AFE" w:rsidP="009A3AFE">
            <w:pPr>
              <w:jc w:val="right"/>
              <w:rPr>
                <w:sz w:val="20"/>
              </w:rPr>
            </w:pPr>
            <w:r>
              <w:rPr>
                <w:sz w:val="20"/>
              </w:rPr>
              <w:t>75.2</w:t>
            </w:r>
          </w:p>
        </w:tc>
        <w:tc>
          <w:tcPr>
            <w:tcW w:w="373" w:type="dxa"/>
            <w:tcBorders>
              <w:right w:val="single" w:sz="18" w:space="0" w:color="FFFFFF" w:themeColor="background1"/>
            </w:tcBorders>
          </w:tcPr>
          <w:p w:rsidR="009A3AFE" w:rsidRDefault="009A3AFE" w:rsidP="009A3AFE">
            <w:pPr>
              <w:jc w:val="right"/>
              <w:rPr>
                <w:sz w:val="20"/>
              </w:rPr>
            </w:pPr>
          </w:p>
        </w:tc>
        <w:tc>
          <w:tcPr>
            <w:tcW w:w="1065" w:type="dxa"/>
            <w:tcBorders>
              <w:left w:val="single" w:sz="18" w:space="0" w:color="FFFFFF" w:themeColor="background1"/>
            </w:tcBorders>
          </w:tcPr>
          <w:p w:rsidR="009A3AFE" w:rsidRDefault="009A3AFE" w:rsidP="009A3AFE">
            <w:pPr>
              <w:jc w:val="right"/>
              <w:rPr>
                <w:sz w:val="20"/>
              </w:rPr>
            </w:pPr>
            <w:r>
              <w:rPr>
                <w:sz w:val="20"/>
              </w:rPr>
              <w:t>1,735.1</w:t>
            </w:r>
          </w:p>
        </w:tc>
      </w:tr>
      <w:tr w:rsidR="009A3AFE" w:rsidRPr="000E6955" w:rsidTr="000A3FCD">
        <w:tc>
          <w:tcPr>
            <w:tcW w:w="2714" w:type="dxa"/>
          </w:tcPr>
          <w:p w:rsidR="009A3AFE" w:rsidRDefault="009A3AFE" w:rsidP="009A3AFE">
            <w:pPr>
              <w:rPr>
                <w:sz w:val="20"/>
              </w:rPr>
            </w:pPr>
            <w:r>
              <w:rPr>
                <w:sz w:val="20"/>
              </w:rPr>
              <w:t>Index linked securities</w:t>
            </w:r>
          </w:p>
        </w:tc>
        <w:tc>
          <w:tcPr>
            <w:tcW w:w="396" w:type="dxa"/>
            <w:tcBorders>
              <w:right w:val="single" w:sz="18" w:space="0" w:color="FFFFFF" w:themeColor="background1"/>
            </w:tcBorders>
          </w:tcPr>
          <w:p w:rsidR="009A3AFE" w:rsidRDefault="009A3AFE" w:rsidP="009A3AFE">
            <w:pPr>
              <w:jc w:val="right"/>
              <w:rPr>
                <w:sz w:val="20"/>
              </w:rPr>
            </w:pPr>
          </w:p>
        </w:tc>
        <w:tc>
          <w:tcPr>
            <w:tcW w:w="1040" w:type="dxa"/>
            <w:tcBorders>
              <w:left w:val="single" w:sz="18" w:space="0" w:color="FFFFFF" w:themeColor="background1"/>
            </w:tcBorders>
          </w:tcPr>
          <w:p w:rsidR="009A3AFE" w:rsidRDefault="009A3AFE" w:rsidP="009A3AFE">
            <w:pPr>
              <w:jc w:val="right"/>
              <w:rPr>
                <w:sz w:val="20"/>
              </w:rPr>
            </w:pPr>
            <w:r>
              <w:rPr>
                <w:sz w:val="20"/>
              </w:rPr>
              <w:t>103.2</w:t>
            </w:r>
          </w:p>
        </w:tc>
        <w:tc>
          <w:tcPr>
            <w:tcW w:w="421" w:type="dxa"/>
            <w:tcBorders>
              <w:right w:val="single" w:sz="18" w:space="0" w:color="FFFFFF" w:themeColor="background1"/>
            </w:tcBorders>
          </w:tcPr>
          <w:p w:rsidR="009A3AFE" w:rsidRPr="008A49FD" w:rsidRDefault="009A3AFE" w:rsidP="009A3AFE">
            <w:pPr>
              <w:pStyle w:val="ListParagraph"/>
              <w:ind w:left="0"/>
              <w:jc w:val="center"/>
              <w:rPr>
                <w:sz w:val="20"/>
              </w:rPr>
            </w:pPr>
          </w:p>
        </w:tc>
        <w:tc>
          <w:tcPr>
            <w:tcW w:w="1052" w:type="dxa"/>
            <w:tcBorders>
              <w:left w:val="single" w:sz="18" w:space="0" w:color="FFFFFF" w:themeColor="background1"/>
            </w:tcBorders>
          </w:tcPr>
          <w:p w:rsidR="009A3AFE" w:rsidRPr="008A49FD" w:rsidRDefault="000A3FCD" w:rsidP="009A3AFE">
            <w:pPr>
              <w:pStyle w:val="ListParagraph"/>
              <w:ind w:left="339"/>
              <w:jc w:val="center"/>
              <w:rPr>
                <w:sz w:val="20"/>
              </w:rPr>
            </w:pPr>
            <w:r>
              <w:rPr>
                <w:sz w:val="20"/>
              </w:rPr>
              <w:t xml:space="preserve"> </w:t>
            </w:r>
            <w:r w:rsidR="009A3AFE">
              <w:rPr>
                <w:sz w:val="20"/>
              </w:rPr>
              <w:t>50.9</w:t>
            </w:r>
          </w:p>
        </w:tc>
        <w:tc>
          <w:tcPr>
            <w:tcW w:w="404" w:type="dxa"/>
            <w:tcBorders>
              <w:right w:val="single" w:sz="18" w:space="0" w:color="FFFFFF" w:themeColor="background1"/>
            </w:tcBorders>
          </w:tcPr>
          <w:p w:rsidR="009A3AFE" w:rsidRDefault="009A3AFE" w:rsidP="009A3AFE">
            <w:pPr>
              <w:jc w:val="right"/>
              <w:rPr>
                <w:sz w:val="20"/>
              </w:rPr>
            </w:pPr>
          </w:p>
        </w:tc>
        <w:tc>
          <w:tcPr>
            <w:tcW w:w="1047" w:type="dxa"/>
            <w:tcBorders>
              <w:left w:val="single" w:sz="18" w:space="0" w:color="FFFFFF" w:themeColor="background1"/>
            </w:tcBorders>
          </w:tcPr>
          <w:p w:rsidR="009A3AFE" w:rsidRDefault="00BD2A79" w:rsidP="009A3AFE">
            <w:pPr>
              <w:jc w:val="right"/>
              <w:rPr>
                <w:sz w:val="20"/>
              </w:rPr>
            </w:pPr>
            <w:r>
              <w:rPr>
                <w:sz w:val="20"/>
              </w:rPr>
              <w:t>(</w:t>
            </w:r>
            <w:r w:rsidR="009A3AFE">
              <w:rPr>
                <w:sz w:val="20"/>
              </w:rPr>
              <w:t>15.9</w:t>
            </w:r>
            <w:r>
              <w:rPr>
                <w:sz w:val="20"/>
              </w:rPr>
              <w:t>)</w:t>
            </w:r>
          </w:p>
        </w:tc>
        <w:tc>
          <w:tcPr>
            <w:tcW w:w="398" w:type="dxa"/>
            <w:tcBorders>
              <w:right w:val="single" w:sz="18" w:space="0" w:color="FFFFFF" w:themeColor="background1"/>
            </w:tcBorders>
          </w:tcPr>
          <w:p w:rsidR="009A3AFE" w:rsidRDefault="009A3AFE" w:rsidP="009A3AFE">
            <w:pPr>
              <w:jc w:val="right"/>
              <w:rPr>
                <w:sz w:val="20"/>
              </w:rPr>
            </w:pPr>
          </w:p>
        </w:tc>
        <w:tc>
          <w:tcPr>
            <w:tcW w:w="994" w:type="dxa"/>
            <w:tcBorders>
              <w:left w:val="single" w:sz="18" w:space="0" w:color="FFFFFF" w:themeColor="background1"/>
            </w:tcBorders>
          </w:tcPr>
          <w:p w:rsidR="009A3AFE" w:rsidRDefault="009A3AFE" w:rsidP="009A3AFE">
            <w:pPr>
              <w:jc w:val="right"/>
              <w:rPr>
                <w:sz w:val="20"/>
              </w:rPr>
            </w:pPr>
            <w:r>
              <w:rPr>
                <w:sz w:val="20"/>
              </w:rPr>
              <w:t>2.8</w:t>
            </w:r>
          </w:p>
        </w:tc>
        <w:tc>
          <w:tcPr>
            <w:tcW w:w="373" w:type="dxa"/>
            <w:tcBorders>
              <w:right w:val="single" w:sz="18" w:space="0" w:color="FFFFFF" w:themeColor="background1"/>
            </w:tcBorders>
          </w:tcPr>
          <w:p w:rsidR="009A3AFE" w:rsidRDefault="009A3AFE" w:rsidP="009A3AFE">
            <w:pPr>
              <w:jc w:val="right"/>
              <w:rPr>
                <w:sz w:val="20"/>
              </w:rPr>
            </w:pPr>
          </w:p>
        </w:tc>
        <w:tc>
          <w:tcPr>
            <w:tcW w:w="1065" w:type="dxa"/>
            <w:tcBorders>
              <w:left w:val="single" w:sz="18" w:space="0" w:color="FFFFFF" w:themeColor="background1"/>
            </w:tcBorders>
          </w:tcPr>
          <w:p w:rsidR="009A3AFE" w:rsidRDefault="009A3AFE" w:rsidP="009A3AFE">
            <w:pPr>
              <w:jc w:val="right"/>
              <w:rPr>
                <w:sz w:val="20"/>
              </w:rPr>
            </w:pPr>
            <w:r>
              <w:rPr>
                <w:sz w:val="20"/>
              </w:rPr>
              <w:t>141.0</w:t>
            </w:r>
          </w:p>
        </w:tc>
      </w:tr>
      <w:tr w:rsidR="009A3AFE" w:rsidRPr="000E6955" w:rsidTr="000A3FCD">
        <w:tc>
          <w:tcPr>
            <w:tcW w:w="2714" w:type="dxa"/>
          </w:tcPr>
          <w:p w:rsidR="009A3AFE" w:rsidRDefault="009A3AFE" w:rsidP="009A3AFE">
            <w:pPr>
              <w:rPr>
                <w:sz w:val="20"/>
              </w:rPr>
            </w:pPr>
            <w:r>
              <w:rPr>
                <w:sz w:val="20"/>
              </w:rPr>
              <w:t>Pooled investments</w:t>
            </w:r>
          </w:p>
        </w:tc>
        <w:tc>
          <w:tcPr>
            <w:tcW w:w="396" w:type="dxa"/>
            <w:tcBorders>
              <w:right w:val="single" w:sz="18" w:space="0" w:color="FFFFFF" w:themeColor="background1"/>
            </w:tcBorders>
          </w:tcPr>
          <w:p w:rsidR="009A3AFE" w:rsidRDefault="009A3AFE" w:rsidP="009A3AFE">
            <w:pPr>
              <w:jc w:val="right"/>
              <w:rPr>
                <w:sz w:val="20"/>
              </w:rPr>
            </w:pPr>
          </w:p>
        </w:tc>
        <w:tc>
          <w:tcPr>
            <w:tcW w:w="1040" w:type="dxa"/>
            <w:tcBorders>
              <w:left w:val="single" w:sz="18" w:space="0" w:color="FFFFFF" w:themeColor="background1"/>
            </w:tcBorders>
          </w:tcPr>
          <w:p w:rsidR="009A3AFE" w:rsidRDefault="009A3AFE" w:rsidP="009A3AFE">
            <w:pPr>
              <w:jc w:val="right"/>
              <w:rPr>
                <w:sz w:val="20"/>
              </w:rPr>
            </w:pPr>
            <w:r>
              <w:rPr>
                <w:sz w:val="20"/>
              </w:rPr>
              <w:t>1,962.2</w:t>
            </w:r>
          </w:p>
        </w:tc>
        <w:tc>
          <w:tcPr>
            <w:tcW w:w="421" w:type="dxa"/>
            <w:tcBorders>
              <w:right w:val="single" w:sz="18" w:space="0" w:color="FFFFFF" w:themeColor="background1"/>
            </w:tcBorders>
          </w:tcPr>
          <w:p w:rsidR="009A3AFE" w:rsidRDefault="009A3AFE" w:rsidP="009A3AFE">
            <w:pPr>
              <w:jc w:val="right"/>
              <w:rPr>
                <w:sz w:val="20"/>
              </w:rPr>
            </w:pPr>
          </w:p>
        </w:tc>
        <w:tc>
          <w:tcPr>
            <w:tcW w:w="1052" w:type="dxa"/>
            <w:tcBorders>
              <w:left w:val="single" w:sz="18" w:space="0" w:color="FFFFFF" w:themeColor="background1"/>
            </w:tcBorders>
          </w:tcPr>
          <w:p w:rsidR="009A3AFE" w:rsidRDefault="009A3AFE" w:rsidP="009A3AFE">
            <w:pPr>
              <w:jc w:val="right"/>
              <w:rPr>
                <w:sz w:val="20"/>
              </w:rPr>
            </w:pPr>
            <w:r>
              <w:rPr>
                <w:sz w:val="20"/>
              </w:rPr>
              <w:t>154.9</w:t>
            </w:r>
          </w:p>
        </w:tc>
        <w:tc>
          <w:tcPr>
            <w:tcW w:w="404" w:type="dxa"/>
            <w:tcBorders>
              <w:right w:val="single" w:sz="18" w:space="0" w:color="FFFFFF" w:themeColor="background1"/>
            </w:tcBorders>
          </w:tcPr>
          <w:p w:rsidR="009A3AFE" w:rsidRDefault="009A3AFE" w:rsidP="009A3AFE">
            <w:pPr>
              <w:jc w:val="right"/>
              <w:rPr>
                <w:sz w:val="20"/>
              </w:rPr>
            </w:pPr>
          </w:p>
        </w:tc>
        <w:tc>
          <w:tcPr>
            <w:tcW w:w="1047" w:type="dxa"/>
            <w:tcBorders>
              <w:left w:val="single" w:sz="18" w:space="0" w:color="FFFFFF" w:themeColor="background1"/>
            </w:tcBorders>
          </w:tcPr>
          <w:p w:rsidR="009A3AFE" w:rsidRDefault="00BD2A79" w:rsidP="009A3AFE">
            <w:pPr>
              <w:jc w:val="right"/>
              <w:rPr>
                <w:sz w:val="20"/>
              </w:rPr>
            </w:pPr>
            <w:r>
              <w:rPr>
                <w:sz w:val="20"/>
              </w:rPr>
              <w:t>(</w:t>
            </w:r>
            <w:r w:rsidR="009A3AFE">
              <w:rPr>
                <w:sz w:val="20"/>
              </w:rPr>
              <w:t>872.6</w:t>
            </w:r>
            <w:r>
              <w:rPr>
                <w:sz w:val="20"/>
              </w:rPr>
              <w:t>)</w:t>
            </w:r>
          </w:p>
        </w:tc>
        <w:tc>
          <w:tcPr>
            <w:tcW w:w="398" w:type="dxa"/>
            <w:tcBorders>
              <w:right w:val="single" w:sz="18" w:space="0" w:color="FFFFFF" w:themeColor="background1"/>
            </w:tcBorders>
          </w:tcPr>
          <w:p w:rsidR="009A3AFE" w:rsidRDefault="009A3AFE" w:rsidP="009A3AFE">
            <w:pPr>
              <w:jc w:val="right"/>
              <w:rPr>
                <w:sz w:val="20"/>
              </w:rPr>
            </w:pPr>
          </w:p>
        </w:tc>
        <w:tc>
          <w:tcPr>
            <w:tcW w:w="994" w:type="dxa"/>
            <w:tcBorders>
              <w:left w:val="single" w:sz="18" w:space="0" w:color="FFFFFF" w:themeColor="background1"/>
            </w:tcBorders>
          </w:tcPr>
          <w:p w:rsidR="009A3AFE" w:rsidRDefault="009A3AFE" w:rsidP="009A3AFE">
            <w:pPr>
              <w:jc w:val="right"/>
              <w:rPr>
                <w:sz w:val="20"/>
              </w:rPr>
            </w:pPr>
            <w:r>
              <w:rPr>
                <w:sz w:val="20"/>
              </w:rPr>
              <w:t>151.0</w:t>
            </w:r>
          </w:p>
        </w:tc>
        <w:tc>
          <w:tcPr>
            <w:tcW w:w="373" w:type="dxa"/>
            <w:tcBorders>
              <w:right w:val="single" w:sz="18" w:space="0" w:color="FFFFFF" w:themeColor="background1"/>
            </w:tcBorders>
          </w:tcPr>
          <w:p w:rsidR="009A3AFE" w:rsidRDefault="009A3AFE" w:rsidP="009A3AFE">
            <w:pPr>
              <w:jc w:val="right"/>
              <w:rPr>
                <w:sz w:val="20"/>
              </w:rPr>
            </w:pPr>
          </w:p>
        </w:tc>
        <w:tc>
          <w:tcPr>
            <w:tcW w:w="1065" w:type="dxa"/>
            <w:tcBorders>
              <w:left w:val="single" w:sz="18" w:space="0" w:color="FFFFFF" w:themeColor="background1"/>
            </w:tcBorders>
          </w:tcPr>
          <w:p w:rsidR="009A3AFE" w:rsidRDefault="009A3AFE" w:rsidP="009A3AFE">
            <w:pPr>
              <w:jc w:val="right"/>
              <w:rPr>
                <w:sz w:val="20"/>
              </w:rPr>
            </w:pPr>
            <w:r>
              <w:rPr>
                <w:sz w:val="20"/>
              </w:rPr>
              <w:t>1,395.5</w:t>
            </w:r>
          </w:p>
        </w:tc>
      </w:tr>
      <w:tr w:rsidR="009A3AFE" w:rsidRPr="000E6955" w:rsidTr="000A3FCD">
        <w:tc>
          <w:tcPr>
            <w:tcW w:w="2714" w:type="dxa"/>
          </w:tcPr>
          <w:p w:rsidR="009A3AFE" w:rsidRDefault="009A3AFE" w:rsidP="009A3AFE">
            <w:pPr>
              <w:rPr>
                <w:sz w:val="20"/>
              </w:rPr>
            </w:pPr>
            <w:r>
              <w:rPr>
                <w:sz w:val="20"/>
              </w:rPr>
              <w:t>Property</w:t>
            </w:r>
          </w:p>
        </w:tc>
        <w:tc>
          <w:tcPr>
            <w:tcW w:w="396" w:type="dxa"/>
            <w:tcBorders>
              <w:bottom w:val="single" w:sz="18" w:space="0" w:color="auto"/>
              <w:right w:val="single" w:sz="18" w:space="0" w:color="FFFFFF" w:themeColor="background1"/>
            </w:tcBorders>
          </w:tcPr>
          <w:p w:rsidR="009A3AFE" w:rsidRDefault="009A3AFE" w:rsidP="009A3AFE">
            <w:pPr>
              <w:jc w:val="right"/>
              <w:rPr>
                <w:sz w:val="20"/>
              </w:rPr>
            </w:pPr>
          </w:p>
        </w:tc>
        <w:tc>
          <w:tcPr>
            <w:tcW w:w="1040" w:type="dxa"/>
            <w:tcBorders>
              <w:left w:val="single" w:sz="18" w:space="0" w:color="FFFFFF" w:themeColor="background1"/>
              <w:bottom w:val="single" w:sz="18" w:space="0" w:color="auto"/>
            </w:tcBorders>
          </w:tcPr>
          <w:p w:rsidR="009A3AFE" w:rsidRDefault="009A3AFE" w:rsidP="009A3AFE">
            <w:pPr>
              <w:jc w:val="right"/>
              <w:rPr>
                <w:sz w:val="20"/>
              </w:rPr>
            </w:pPr>
            <w:r>
              <w:rPr>
                <w:sz w:val="20"/>
              </w:rPr>
              <w:t>306.1</w:t>
            </w:r>
          </w:p>
        </w:tc>
        <w:tc>
          <w:tcPr>
            <w:tcW w:w="421" w:type="dxa"/>
            <w:tcBorders>
              <w:bottom w:val="single" w:sz="18" w:space="0" w:color="auto"/>
              <w:right w:val="single" w:sz="18" w:space="0" w:color="FFFFFF" w:themeColor="background1"/>
            </w:tcBorders>
          </w:tcPr>
          <w:p w:rsidR="009A3AFE" w:rsidRDefault="009A3AFE" w:rsidP="009A3AFE">
            <w:pPr>
              <w:jc w:val="right"/>
              <w:rPr>
                <w:sz w:val="20"/>
              </w:rPr>
            </w:pPr>
          </w:p>
        </w:tc>
        <w:tc>
          <w:tcPr>
            <w:tcW w:w="1052" w:type="dxa"/>
            <w:tcBorders>
              <w:left w:val="single" w:sz="18" w:space="0" w:color="FFFFFF" w:themeColor="background1"/>
              <w:bottom w:val="single" w:sz="18" w:space="0" w:color="auto"/>
            </w:tcBorders>
          </w:tcPr>
          <w:p w:rsidR="009A3AFE" w:rsidRDefault="009A3AFE" w:rsidP="009A3AFE">
            <w:pPr>
              <w:jc w:val="right"/>
              <w:rPr>
                <w:sz w:val="20"/>
              </w:rPr>
            </w:pPr>
            <w:r>
              <w:rPr>
                <w:sz w:val="20"/>
              </w:rPr>
              <w:t>89.9</w:t>
            </w:r>
          </w:p>
        </w:tc>
        <w:tc>
          <w:tcPr>
            <w:tcW w:w="404" w:type="dxa"/>
            <w:tcBorders>
              <w:bottom w:val="single" w:sz="18" w:space="0" w:color="auto"/>
              <w:right w:val="single" w:sz="18" w:space="0" w:color="FFFFFF" w:themeColor="background1"/>
            </w:tcBorders>
          </w:tcPr>
          <w:p w:rsidR="009A3AFE" w:rsidRDefault="009A3AFE" w:rsidP="009A3AFE">
            <w:pPr>
              <w:jc w:val="right"/>
              <w:rPr>
                <w:sz w:val="20"/>
              </w:rPr>
            </w:pPr>
          </w:p>
        </w:tc>
        <w:tc>
          <w:tcPr>
            <w:tcW w:w="1047" w:type="dxa"/>
            <w:tcBorders>
              <w:left w:val="single" w:sz="18" w:space="0" w:color="FFFFFF" w:themeColor="background1"/>
              <w:bottom w:val="single" w:sz="18" w:space="0" w:color="auto"/>
            </w:tcBorders>
          </w:tcPr>
          <w:p w:rsidR="009A3AFE" w:rsidRDefault="00BD2A79" w:rsidP="009A3AFE">
            <w:pPr>
              <w:jc w:val="right"/>
              <w:rPr>
                <w:sz w:val="20"/>
              </w:rPr>
            </w:pPr>
            <w:r>
              <w:rPr>
                <w:sz w:val="20"/>
              </w:rPr>
              <w:t>(</w:t>
            </w:r>
            <w:r w:rsidR="009A3AFE">
              <w:rPr>
                <w:sz w:val="20"/>
              </w:rPr>
              <w:t>9.1</w:t>
            </w:r>
            <w:r>
              <w:rPr>
                <w:sz w:val="20"/>
              </w:rPr>
              <w:t>)</w:t>
            </w:r>
          </w:p>
        </w:tc>
        <w:tc>
          <w:tcPr>
            <w:tcW w:w="398" w:type="dxa"/>
            <w:tcBorders>
              <w:bottom w:val="single" w:sz="18" w:space="0" w:color="auto"/>
              <w:right w:val="single" w:sz="18" w:space="0" w:color="FFFFFF" w:themeColor="background1"/>
            </w:tcBorders>
          </w:tcPr>
          <w:p w:rsidR="009A3AFE" w:rsidRDefault="009A3AFE" w:rsidP="009A3AFE">
            <w:pPr>
              <w:jc w:val="right"/>
              <w:rPr>
                <w:sz w:val="20"/>
              </w:rPr>
            </w:pPr>
          </w:p>
        </w:tc>
        <w:tc>
          <w:tcPr>
            <w:tcW w:w="994" w:type="dxa"/>
            <w:tcBorders>
              <w:left w:val="single" w:sz="18" w:space="0" w:color="FFFFFF" w:themeColor="background1"/>
              <w:bottom w:val="single" w:sz="18" w:space="0" w:color="auto"/>
            </w:tcBorders>
          </w:tcPr>
          <w:p w:rsidR="009A3AFE" w:rsidRDefault="009A3AFE" w:rsidP="009A3AFE">
            <w:pPr>
              <w:jc w:val="right"/>
              <w:rPr>
                <w:sz w:val="20"/>
              </w:rPr>
            </w:pPr>
            <w:r>
              <w:rPr>
                <w:sz w:val="20"/>
              </w:rPr>
              <w:t>10.6</w:t>
            </w:r>
          </w:p>
        </w:tc>
        <w:tc>
          <w:tcPr>
            <w:tcW w:w="373" w:type="dxa"/>
            <w:tcBorders>
              <w:bottom w:val="single" w:sz="18" w:space="0" w:color="auto"/>
              <w:right w:val="single" w:sz="18" w:space="0" w:color="FFFFFF" w:themeColor="background1"/>
            </w:tcBorders>
          </w:tcPr>
          <w:p w:rsidR="009A3AFE" w:rsidRDefault="009A3AFE" w:rsidP="009A3AFE">
            <w:pPr>
              <w:jc w:val="right"/>
              <w:rPr>
                <w:sz w:val="20"/>
              </w:rPr>
            </w:pPr>
          </w:p>
        </w:tc>
        <w:tc>
          <w:tcPr>
            <w:tcW w:w="1065" w:type="dxa"/>
            <w:tcBorders>
              <w:left w:val="single" w:sz="18" w:space="0" w:color="FFFFFF" w:themeColor="background1"/>
              <w:bottom w:val="single" w:sz="18" w:space="0" w:color="auto"/>
            </w:tcBorders>
          </w:tcPr>
          <w:p w:rsidR="009A3AFE" w:rsidRDefault="009A3AFE" w:rsidP="009A3AFE">
            <w:pPr>
              <w:jc w:val="right"/>
              <w:rPr>
                <w:sz w:val="20"/>
              </w:rPr>
            </w:pPr>
            <w:r>
              <w:rPr>
                <w:sz w:val="20"/>
              </w:rPr>
              <w:t>397.5</w:t>
            </w:r>
          </w:p>
        </w:tc>
      </w:tr>
      <w:tr w:rsidR="009A3AFE" w:rsidRPr="000E6955" w:rsidTr="000A3FCD">
        <w:tc>
          <w:tcPr>
            <w:tcW w:w="2714" w:type="dxa"/>
          </w:tcPr>
          <w:p w:rsidR="009A3AFE" w:rsidRDefault="009A3AFE" w:rsidP="009A3AFE">
            <w:pPr>
              <w:rPr>
                <w:sz w:val="20"/>
              </w:rPr>
            </w:pPr>
          </w:p>
        </w:tc>
        <w:tc>
          <w:tcPr>
            <w:tcW w:w="396" w:type="dxa"/>
            <w:tcBorders>
              <w:top w:val="single" w:sz="18" w:space="0" w:color="auto"/>
              <w:right w:val="single" w:sz="18" w:space="0" w:color="FFFFFF" w:themeColor="background1"/>
            </w:tcBorders>
          </w:tcPr>
          <w:p w:rsidR="009A3AFE" w:rsidRDefault="009A3AFE" w:rsidP="009A3AFE">
            <w:pPr>
              <w:jc w:val="right"/>
              <w:rPr>
                <w:sz w:val="20"/>
              </w:rPr>
            </w:pPr>
          </w:p>
        </w:tc>
        <w:tc>
          <w:tcPr>
            <w:tcW w:w="1040" w:type="dxa"/>
            <w:tcBorders>
              <w:top w:val="single" w:sz="18" w:space="0" w:color="auto"/>
              <w:left w:val="single" w:sz="18" w:space="0" w:color="FFFFFF" w:themeColor="background1"/>
            </w:tcBorders>
          </w:tcPr>
          <w:p w:rsidR="009A3AFE" w:rsidRDefault="009A3AFE" w:rsidP="009A3AFE">
            <w:pPr>
              <w:jc w:val="right"/>
              <w:rPr>
                <w:sz w:val="20"/>
              </w:rPr>
            </w:pPr>
            <w:r>
              <w:rPr>
                <w:sz w:val="20"/>
              </w:rPr>
              <w:t>3,831.3</w:t>
            </w:r>
          </w:p>
        </w:tc>
        <w:tc>
          <w:tcPr>
            <w:tcW w:w="421" w:type="dxa"/>
            <w:tcBorders>
              <w:top w:val="single" w:sz="18" w:space="0" w:color="auto"/>
              <w:right w:val="single" w:sz="18" w:space="0" w:color="FFFFFF" w:themeColor="background1"/>
            </w:tcBorders>
          </w:tcPr>
          <w:p w:rsidR="009A3AFE" w:rsidRDefault="009A3AFE" w:rsidP="009A3AFE">
            <w:pPr>
              <w:jc w:val="right"/>
              <w:rPr>
                <w:sz w:val="20"/>
              </w:rPr>
            </w:pPr>
          </w:p>
        </w:tc>
        <w:tc>
          <w:tcPr>
            <w:tcW w:w="1052" w:type="dxa"/>
            <w:tcBorders>
              <w:top w:val="single" w:sz="18" w:space="0" w:color="auto"/>
              <w:left w:val="single" w:sz="18" w:space="0" w:color="FFFFFF" w:themeColor="background1"/>
            </w:tcBorders>
          </w:tcPr>
          <w:p w:rsidR="009A3AFE" w:rsidRDefault="009A3AFE" w:rsidP="009A3AFE">
            <w:pPr>
              <w:jc w:val="right"/>
              <w:rPr>
                <w:sz w:val="20"/>
              </w:rPr>
            </w:pPr>
            <w:r>
              <w:rPr>
                <w:sz w:val="20"/>
              </w:rPr>
              <w:t>1,792.5</w:t>
            </w:r>
          </w:p>
        </w:tc>
        <w:tc>
          <w:tcPr>
            <w:tcW w:w="404" w:type="dxa"/>
            <w:tcBorders>
              <w:top w:val="single" w:sz="18" w:space="0" w:color="auto"/>
              <w:right w:val="single" w:sz="18" w:space="0" w:color="FFFFFF" w:themeColor="background1"/>
            </w:tcBorders>
          </w:tcPr>
          <w:p w:rsidR="009A3AFE" w:rsidRDefault="009A3AFE" w:rsidP="009A3AFE">
            <w:pPr>
              <w:jc w:val="right"/>
              <w:rPr>
                <w:sz w:val="20"/>
              </w:rPr>
            </w:pPr>
          </w:p>
        </w:tc>
        <w:tc>
          <w:tcPr>
            <w:tcW w:w="1047" w:type="dxa"/>
            <w:tcBorders>
              <w:top w:val="single" w:sz="18" w:space="0" w:color="auto"/>
              <w:left w:val="single" w:sz="18" w:space="0" w:color="FFFFFF" w:themeColor="background1"/>
            </w:tcBorders>
          </w:tcPr>
          <w:p w:rsidR="009A3AFE" w:rsidRDefault="00BD2A79" w:rsidP="009A3AFE">
            <w:pPr>
              <w:jc w:val="right"/>
              <w:rPr>
                <w:sz w:val="20"/>
              </w:rPr>
            </w:pPr>
            <w:r>
              <w:rPr>
                <w:sz w:val="20"/>
              </w:rPr>
              <w:t>(</w:t>
            </w:r>
            <w:r w:rsidR="009A3AFE">
              <w:rPr>
                <w:sz w:val="20"/>
              </w:rPr>
              <w:t>1,635.3</w:t>
            </w:r>
            <w:r>
              <w:rPr>
                <w:sz w:val="20"/>
              </w:rPr>
              <w:t>)</w:t>
            </w:r>
          </w:p>
        </w:tc>
        <w:tc>
          <w:tcPr>
            <w:tcW w:w="398" w:type="dxa"/>
            <w:tcBorders>
              <w:top w:val="single" w:sz="18" w:space="0" w:color="auto"/>
              <w:right w:val="single" w:sz="18" w:space="0" w:color="FFFFFF" w:themeColor="background1"/>
            </w:tcBorders>
          </w:tcPr>
          <w:p w:rsidR="009A3AFE" w:rsidRDefault="009A3AFE" w:rsidP="009A3AFE">
            <w:pPr>
              <w:jc w:val="right"/>
              <w:rPr>
                <w:sz w:val="20"/>
              </w:rPr>
            </w:pPr>
          </w:p>
        </w:tc>
        <w:tc>
          <w:tcPr>
            <w:tcW w:w="994" w:type="dxa"/>
            <w:tcBorders>
              <w:top w:val="single" w:sz="18" w:space="0" w:color="auto"/>
              <w:left w:val="single" w:sz="18" w:space="0" w:color="FFFFFF" w:themeColor="background1"/>
            </w:tcBorders>
          </w:tcPr>
          <w:p w:rsidR="009A3AFE" w:rsidRDefault="009A3AFE" w:rsidP="009A3AFE">
            <w:pPr>
              <w:jc w:val="right"/>
              <w:rPr>
                <w:sz w:val="20"/>
              </w:rPr>
            </w:pPr>
            <w:r>
              <w:rPr>
                <w:sz w:val="20"/>
              </w:rPr>
              <w:t>239.7</w:t>
            </w:r>
          </w:p>
        </w:tc>
        <w:tc>
          <w:tcPr>
            <w:tcW w:w="373" w:type="dxa"/>
            <w:tcBorders>
              <w:top w:val="single" w:sz="18" w:space="0" w:color="auto"/>
              <w:right w:val="single" w:sz="18" w:space="0" w:color="FFFFFF" w:themeColor="background1"/>
            </w:tcBorders>
          </w:tcPr>
          <w:p w:rsidR="009A3AFE" w:rsidRDefault="009A3AFE" w:rsidP="009A3AFE">
            <w:pPr>
              <w:jc w:val="right"/>
              <w:rPr>
                <w:sz w:val="20"/>
              </w:rPr>
            </w:pPr>
          </w:p>
          <w:p w:rsidR="009A3AFE" w:rsidRDefault="009A3AFE" w:rsidP="009A3AFE">
            <w:pPr>
              <w:jc w:val="right"/>
              <w:rPr>
                <w:sz w:val="20"/>
              </w:rPr>
            </w:pPr>
          </w:p>
        </w:tc>
        <w:tc>
          <w:tcPr>
            <w:tcW w:w="1065" w:type="dxa"/>
            <w:tcBorders>
              <w:top w:val="single" w:sz="18" w:space="0" w:color="auto"/>
              <w:left w:val="single" w:sz="18" w:space="0" w:color="FFFFFF" w:themeColor="background1"/>
            </w:tcBorders>
          </w:tcPr>
          <w:p w:rsidR="009A3AFE" w:rsidRDefault="009A3AFE" w:rsidP="009A3AFE">
            <w:pPr>
              <w:jc w:val="right"/>
              <w:rPr>
                <w:sz w:val="20"/>
              </w:rPr>
            </w:pPr>
            <w:r>
              <w:rPr>
                <w:sz w:val="20"/>
              </w:rPr>
              <w:t>4,228.2</w:t>
            </w:r>
          </w:p>
          <w:p w:rsidR="009A3AFE" w:rsidRDefault="009A3AFE" w:rsidP="009A3AFE">
            <w:pPr>
              <w:jc w:val="right"/>
              <w:rPr>
                <w:sz w:val="20"/>
              </w:rPr>
            </w:pPr>
          </w:p>
        </w:tc>
      </w:tr>
      <w:tr w:rsidR="009A3AFE" w:rsidRPr="000E6955" w:rsidTr="000A3FCD">
        <w:tc>
          <w:tcPr>
            <w:tcW w:w="2714" w:type="dxa"/>
          </w:tcPr>
          <w:p w:rsidR="009A3AFE" w:rsidRDefault="009A3AFE" w:rsidP="009A3AFE">
            <w:pPr>
              <w:rPr>
                <w:sz w:val="20"/>
              </w:rPr>
            </w:pPr>
            <w:r>
              <w:rPr>
                <w:sz w:val="20"/>
              </w:rPr>
              <w:t>Derivative contracts:</w:t>
            </w:r>
          </w:p>
          <w:p w:rsidR="009A3AFE" w:rsidRDefault="009A3AFE" w:rsidP="009A3AFE">
            <w:pPr>
              <w:rPr>
                <w:sz w:val="20"/>
              </w:rPr>
            </w:pPr>
            <w:r>
              <w:rPr>
                <w:sz w:val="20"/>
              </w:rPr>
              <w:t>Futures</w:t>
            </w:r>
          </w:p>
        </w:tc>
        <w:tc>
          <w:tcPr>
            <w:tcW w:w="396" w:type="dxa"/>
            <w:tcBorders>
              <w:right w:val="single" w:sz="18" w:space="0" w:color="FFFFFF" w:themeColor="background1"/>
            </w:tcBorders>
          </w:tcPr>
          <w:p w:rsidR="009A3AFE" w:rsidRDefault="009A3AFE" w:rsidP="009A3AFE">
            <w:pPr>
              <w:jc w:val="right"/>
              <w:rPr>
                <w:sz w:val="20"/>
              </w:rPr>
            </w:pPr>
          </w:p>
          <w:p w:rsidR="009A3AFE" w:rsidRDefault="009A3AFE" w:rsidP="009A3AFE">
            <w:pPr>
              <w:jc w:val="right"/>
              <w:rPr>
                <w:sz w:val="20"/>
              </w:rPr>
            </w:pPr>
          </w:p>
        </w:tc>
        <w:tc>
          <w:tcPr>
            <w:tcW w:w="1040" w:type="dxa"/>
            <w:tcBorders>
              <w:left w:val="single" w:sz="18" w:space="0" w:color="FFFFFF" w:themeColor="background1"/>
            </w:tcBorders>
          </w:tcPr>
          <w:p w:rsidR="009A3AFE" w:rsidRDefault="009A3AFE" w:rsidP="009A3AFE">
            <w:pPr>
              <w:jc w:val="right"/>
              <w:rPr>
                <w:sz w:val="20"/>
              </w:rPr>
            </w:pPr>
          </w:p>
          <w:p w:rsidR="009A3AFE" w:rsidRDefault="009A3AFE" w:rsidP="009A3AFE">
            <w:pPr>
              <w:jc w:val="right"/>
              <w:rPr>
                <w:sz w:val="20"/>
              </w:rPr>
            </w:pPr>
            <w:r>
              <w:rPr>
                <w:sz w:val="20"/>
              </w:rPr>
              <w:t>-</w:t>
            </w:r>
          </w:p>
        </w:tc>
        <w:tc>
          <w:tcPr>
            <w:tcW w:w="421" w:type="dxa"/>
            <w:tcBorders>
              <w:right w:val="single" w:sz="18" w:space="0" w:color="FFFFFF" w:themeColor="background1"/>
            </w:tcBorders>
          </w:tcPr>
          <w:p w:rsidR="009A3AFE" w:rsidRDefault="009A3AFE" w:rsidP="009A3AFE">
            <w:pPr>
              <w:jc w:val="right"/>
              <w:rPr>
                <w:sz w:val="20"/>
              </w:rPr>
            </w:pPr>
          </w:p>
          <w:p w:rsidR="009A3AFE" w:rsidRDefault="009A3AFE" w:rsidP="009A3AFE">
            <w:pPr>
              <w:jc w:val="right"/>
              <w:rPr>
                <w:sz w:val="20"/>
              </w:rPr>
            </w:pPr>
          </w:p>
        </w:tc>
        <w:tc>
          <w:tcPr>
            <w:tcW w:w="1052" w:type="dxa"/>
            <w:tcBorders>
              <w:left w:val="single" w:sz="18" w:space="0" w:color="FFFFFF" w:themeColor="background1"/>
            </w:tcBorders>
          </w:tcPr>
          <w:p w:rsidR="009A3AFE" w:rsidRDefault="009A3AFE" w:rsidP="009A3AFE">
            <w:pPr>
              <w:jc w:val="right"/>
              <w:rPr>
                <w:sz w:val="20"/>
              </w:rPr>
            </w:pPr>
          </w:p>
          <w:p w:rsidR="009A3AFE" w:rsidRDefault="009A3AFE" w:rsidP="009A3AFE">
            <w:pPr>
              <w:jc w:val="right"/>
              <w:rPr>
                <w:sz w:val="20"/>
              </w:rPr>
            </w:pPr>
            <w:r>
              <w:rPr>
                <w:sz w:val="20"/>
              </w:rPr>
              <w:t>4.1</w:t>
            </w:r>
          </w:p>
        </w:tc>
        <w:tc>
          <w:tcPr>
            <w:tcW w:w="404" w:type="dxa"/>
            <w:tcBorders>
              <w:right w:val="single" w:sz="18" w:space="0" w:color="FFFFFF" w:themeColor="background1"/>
            </w:tcBorders>
          </w:tcPr>
          <w:p w:rsidR="009A3AFE" w:rsidRDefault="009A3AFE" w:rsidP="009A3AFE">
            <w:pPr>
              <w:jc w:val="right"/>
              <w:rPr>
                <w:sz w:val="20"/>
              </w:rPr>
            </w:pPr>
          </w:p>
          <w:p w:rsidR="009A3AFE" w:rsidRDefault="009A3AFE" w:rsidP="009A3AFE">
            <w:pPr>
              <w:jc w:val="right"/>
              <w:rPr>
                <w:sz w:val="20"/>
              </w:rPr>
            </w:pPr>
          </w:p>
        </w:tc>
        <w:tc>
          <w:tcPr>
            <w:tcW w:w="1047" w:type="dxa"/>
            <w:tcBorders>
              <w:left w:val="single" w:sz="18" w:space="0" w:color="FFFFFF" w:themeColor="background1"/>
            </w:tcBorders>
          </w:tcPr>
          <w:p w:rsidR="009A3AFE" w:rsidRDefault="009A3AFE" w:rsidP="009A3AFE">
            <w:pPr>
              <w:jc w:val="right"/>
              <w:rPr>
                <w:sz w:val="20"/>
              </w:rPr>
            </w:pPr>
          </w:p>
          <w:p w:rsidR="009A3AFE" w:rsidRDefault="00BD2A79" w:rsidP="009A3AFE">
            <w:pPr>
              <w:jc w:val="right"/>
              <w:rPr>
                <w:sz w:val="20"/>
              </w:rPr>
            </w:pPr>
            <w:r>
              <w:rPr>
                <w:sz w:val="20"/>
              </w:rPr>
              <w:t>(</w:t>
            </w:r>
            <w:r w:rsidR="009A3AFE">
              <w:rPr>
                <w:sz w:val="20"/>
              </w:rPr>
              <w:t>2.3</w:t>
            </w:r>
            <w:r>
              <w:rPr>
                <w:sz w:val="20"/>
              </w:rPr>
              <w:t>)</w:t>
            </w:r>
          </w:p>
        </w:tc>
        <w:tc>
          <w:tcPr>
            <w:tcW w:w="398" w:type="dxa"/>
            <w:tcBorders>
              <w:right w:val="single" w:sz="18" w:space="0" w:color="FFFFFF" w:themeColor="background1"/>
            </w:tcBorders>
          </w:tcPr>
          <w:p w:rsidR="009A3AFE" w:rsidRDefault="009A3AFE" w:rsidP="009A3AFE">
            <w:pPr>
              <w:jc w:val="right"/>
              <w:rPr>
                <w:sz w:val="20"/>
              </w:rPr>
            </w:pPr>
          </w:p>
          <w:p w:rsidR="009A3AFE" w:rsidRDefault="009A3AFE" w:rsidP="009A3AFE">
            <w:pPr>
              <w:jc w:val="right"/>
              <w:rPr>
                <w:sz w:val="20"/>
              </w:rPr>
            </w:pPr>
          </w:p>
        </w:tc>
        <w:tc>
          <w:tcPr>
            <w:tcW w:w="994" w:type="dxa"/>
            <w:tcBorders>
              <w:left w:val="single" w:sz="18" w:space="0" w:color="FFFFFF" w:themeColor="background1"/>
            </w:tcBorders>
          </w:tcPr>
          <w:p w:rsidR="009A3AFE" w:rsidRDefault="009A3AFE" w:rsidP="009A3AFE">
            <w:pPr>
              <w:jc w:val="right"/>
              <w:rPr>
                <w:sz w:val="20"/>
              </w:rPr>
            </w:pPr>
          </w:p>
          <w:p w:rsidR="009A3AFE" w:rsidRDefault="00BD2A79" w:rsidP="009A3AFE">
            <w:pPr>
              <w:jc w:val="right"/>
              <w:rPr>
                <w:sz w:val="20"/>
              </w:rPr>
            </w:pPr>
            <w:r>
              <w:rPr>
                <w:sz w:val="20"/>
              </w:rPr>
              <w:t>(</w:t>
            </w:r>
            <w:r w:rsidR="009A3AFE">
              <w:rPr>
                <w:sz w:val="20"/>
              </w:rPr>
              <w:t>0.9</w:t>
            </w:r>
            <w:r>
              <w:rPr>
                <w:sz w:val="20"/>
              </w:rPr>
              <w:t>)</w:t>
            </w:r>
          </w:p>
        </w:tc>
        <w:tc>
          <w:tcPr>
            <w:tcW w:w="373" w:type="dxa"/>
            <w:tcBorders>
              <w:right w:val="single" w:sz="18" w:space="0" w:color="FFFFFF" w:themeColor="background1"/>
            </w:tcBorders>
          </w:tcPr>
          <w:p w:rsidR="009A3AFE" w:rsidRDefault="009A3AFE" w:rsidP="009A3AFE">
            <w:pPr>
              <w:jc w:val="right"/>
              <w:rPr>
                <w:sz w:val="20"/>
              </w:rPr>
            </w:pPr>
          </w:p>
          <w:p w:rsidR="009A3AFE" w:rsidRDefault="009A3AFE" w:rsidP="009A3AFE">
            <w:pPr>
              <w:jc w:val="right"/>
              <w:rPr>
                <w:sz w:val="20"/>
              </w:rPr>
            </w:pPr>
          </w:p>
        </w:tc>
        <w:tc>
          <w:tcPr>
            <w:tcW w:w="1065" w:type="dxa"/>
            <w:tcBorders>
              <w:left w:val="single" w:sz="18" w:space="0" w:color="FFFFFF" w:themeColor="background1"/>
            </w:tcBorders>
          </w:tcPr>
          <w:p w:rsidR="009A3AFE" w:rsidRDefault="009A3AFE" w:rsidP="009A3AFE">
            <w:pPr>
              <w:jc w:val="right"/>
              <w:rPr>
                <w:sz w:val="20"/>
              </w:rPr>
            </w:pPr>
          </w:p>
          <w:p w:rsidR="009A3AFE" w:rsidRDefault="009A3AFE" w:rsidP="009A3AFE">
            <w:pPr>
              <w:jc w:val="right"/>
              <w:rPr>
                <w:sz w:val="20"/>
              </w:rPr>
            </w:pPr>
            <w:r>
              <w:rPr>
                <w:sz w:val="20"/>
              </w:rPr>
              <w:t>0.9</w:t>
            </w:r>
          </w:p>
        </w:tc>
      </w:tr>
      <w:tr w:rsidR="009A3AFE" w:rsidRPr="000E6955" w:rsidTr="000A3FCD">
        <w:tc>
          <w:tcPr>
            <w:tcW w:w="2714" w:type="dxa"/>
          </w:tcPr>
          <w:p w:rsidR="009A3AFE" w:rsidRDefault="009A3AFE" w:rsidP="009A3AFE">
            <w:pPr>
              <w:rPr>
                <w:sz w:val="20"/>
              </w:rPr>
            </w:pPr>
            <w:r>
              <w:rPr>
                <w:sz w:val="20"/>
              </w:rPr>
              <w:t>Forward currency contracts</w:t>
            </w:r>
          </w:p>
        </w:tc>
        <w:tc>
          <w:tcPr>
            <w:tcW w:w="396" w:type="dxa"/>
            <w:tcBorders>
              <w:right w:val="single" w:sz="18" w:space="0" w:color="FFFFFF" w:themeColor="background1"/>
            </w:tcBorders>
          </w:tcPr>
          <w:p w:rsidR="009A3AFE" w:rsidRDefault="009A3AFE" w:rsidP="009A3AFE">
            <w:pPr>
              <w:jc w:val="right"/>
              <w:rPr>
                <w:sz w:val="20"/>
              </w:rPr>
            </w:pPr>
          </w:p>
        </w:tc>
        <w:tc>
          <w:tcPr>
            <w:tcW w:w="1040" w:type="dxa"/>
            <w:tcBorders>
              <w:left w:val="single" w:sz="18" w:space="0" w:color="FFFFFF" w:themeColor="background1"/>
            </w:tcBorders>
          </w:tcPr>
          <w:p w:rsidR="009A3AFE" w:rsidRDefault="009A3AFE" w:rsidP="009A3AFE">
            <w:pPr>
              <w:jc w:val="right"/>
              <w:rPr>
                <w:sz w:val="20"/>
              </w:rPr>
            </w:pPr>
            <w:r>
              <w:rPr>
                <w:sz w:val="20"/>
              </w:rPr>
              <w:t>0.1</w:t>
            </w:r>
          </w:p>
        </w:tc>
        <w:tc>
          <w:tcPr>
            <w:tcW w:w="421" w:type="dxa"/>
            <w:tcBorders>
              <w:right w:val="single" w:sz="18" w:space="0" w:color="FFFFFF" w:themeColor="background1"/>
            </w:tcBorders>
          </w:tcPr>
          <w:p w:rsidR="009A3AFE" w:rsidRDefault="009A3AFE" w:rsidP="009A3AFE">
            <w:pPr>
              <w:jc w:val="right"/>
              <w:rPr>
                <w:sz w:val="20"/>
              </w:rPr>
            </w:pPr>
          </w:p>
        </w:tc>
        <w:tc>
          <w:tcPr>
            <w:tcW w:w="1052" w:type="dxa"/>
            <w:tcBorders>
              <w:left w:val="single" w:sz="18" w:space="0" w:color="FFFFFF" w:themeColor="background1"/>
            </w:tcBorders>
          </w:tcPr>
          <w:p w:rsidR="009A3AFE" w:rsidRDefault="009A3AFE" w:rsidP="009A3AFE">
            <w:pPr>
              <w:jc w:val="right"/>
              <w:rPr>
                <w:sz w:val="20"/>
              </w:rPr>
            </w:pPr>
          </w:p>
        </w:tc>
        <w:tc>
          <w:tcPr>
            <w:tcW w:w="404" w:type="dxa"/>
            <w:tcBorders>
              <w:right w:val="single" w:sz="18" w:space="0" w:color="FFFFFF" w:themeColor="background1"/>
            </w:tcBorders>
          </w:tcPr>
          <w:p w:rsidR="009A3AFE" w:rsidRDefault="009A3AFE" w:rsidP="009A3AFE">
            <w:pPr>
              <w:jc w:val="right"/>
              <w:rPr>
                <w:sz w:val="20"/>
              </w:rPr>
            </w:pPr>
          </w:p>
        </w:tc>
        <w:tc>
          <w:tcPr>
            <w:tcW w:w="1047" w:type="dxa"/>
            <w:tcBorders>
              <w:left w:val="single" w:sz="18" w:space="0" w:color="FFFFFF" w:themeColor="background1"/>
            </w:tcBorders>
          </w:tcPr>
          <w:p w:rsidR="009A3AFE" w:rsidRDefault="009A3AFE" w:rsidP="009A3AFE">
            <w:pPr>
              <w:jc w:val="right"/>
              <w:rPr>
                <w:sz w:val="20"/>
              </w:rPr>
            </w:pPr>
          </w:p>
        </w:tc>
        <w:tc>
          <w:tcPr>
            <w:tcW w:w="398" w:type="dxa"/>
            <w:tcBorders>
              <w:right w:val="single" w:sz="18" w:space="0" w:color="FFFFFF" w:themeColor="background1"/>
            </w:tcBorders>
          </w:tcPr>
          <w:p w:rsidR="009A3AFE" w:rsidRDefault="009A3AFE" w:rsidP="009A3AFE">
            <w:pPr>
              <w:jc w:val="right"/>
              <w:rPr>
                <w:sz w:val="20"/>
              </w:rPr>
            </w:pPr>
          </w:p>
        </w:tc>
        <w:tc>
          <w:tcPr>
            <w:tcW w:w="994" w:type="dxa"/>
            <w:tcBorders>
              <w:left w:val="single" w:sz="18" w:space="0" w:color="FFFFFF" w:themeColor="background1"/>
            </w:tcBorders>
          </w:tcPr>
          <w:p w:rsidR="009A3AFE" w:rsidRDefault="009A3AFE" w:rsidP="009A3AFE">
            <w:pPr>
              <w:jc w:val="right"/>
              <w:rPr>
                <w:sz w:val="20"/>
              </w:rPr>
            </w:pPr>
          </w:p>
        </w:tc>
        <w:tc>
          <w:tcPr>
            <w:tcW w:w="373" w:type="dxa"/>
            <w:tcBorders>
              <w:right w:val="single" w:sz="18" w:space="0" w:color="FFFFFF" w:themeColor="background1"/>
            </w:tcBorders>
          </w:tcPr>
          <w:p w:rsidR="009A3AFE" w:rsidRDefault="009A3AFE" w:rsidP="009A3AFE">
            <w:pPr>
              <w:jc w:val="right"/>
              <w:rPr>
                <w:sz w:val="20"/>
              </w:rPr>
            </w:pPr>
          </w:p>
        </w:tc>
        <w:tc>
          <w:tcPr>
            <w:tcW w:w="1065" w:type="dxa"/>
            <w:tcBorders>
              <w:left w:val="single" w:sz="18" w:space="0" w:color="FFFFFF" w:themeColor="background1"/>
            </w:tcBorders>
          </w:tcPr>
          <w:p w:rsidR="009A3AFE" w:rsidRDefault="009A3AFE" w:rsidP="009A3AFE">
            <w:pPr>
              <w:jc w:val="right"/>
              <w:rPr>
                <w:sz w:val="20"/>
              </w:rPr>
            </w:pPr>
            <w:r>
              <w:rPr>
                <w:sz w:val="20"/>
              </w:rPr>
              <w:t>0.9</w:t>
            </w:r>
          </w:p>
        </w:tc>
      </w:tr>
      <w:tr w:rsidR="009A3AFE" w:rsidRPr="000E6955" w:rsidTr="000A3FCD">
        <w:tc>
          <w:tcPr>
            <w:tcW w:w="2714" w:type="dxa"/>
          </w:tcPr>
          <w:p w:rsidR="009A3AFE" w:rsidRDefault="009A3AFE" w:rsidP="009A3AFE">
            <w:pPr>
              <w:rPr>
                <w:sz w:val="20"/>
              </w:rPr>
            </w:pPr>
            <w:r>
              <w:rPr>
                <w:sz w:val="20"/>
              </w:rPr>
              <w:t>Purchased/written options</w:t>
            </w:r>
          </w:p>
        </w:tc>
        <w:tc>
          <w:tcPr>
            <w:tcW w:w="396" w:type="dxa"/>
            <w:tcBorders>
              <w:right w:val="single" w:sz="18" w:space="0" w:color="FFFFFF" w:themeColor="background1"/>
            </w:tcBorders>
          </w:tcPr>
          <w:p w:rsidR="009A3AFE" w:rsidRDefault="009A3AFE" w:rsidP="009A3AFE">
            <w:pPr>
              <w:jc w:val="right"/>
              <w:rPr>
                <w:sz w:val="20"/>
              </w:rPr>
            </w:pPr>
          </w:p>
        </w:tc>
        <w:tc>
          <w:tcPr>
            <w:tcW w:w="1040" w:type="dxa"/>
            <w:tcBorders>
              <w:left w:val="single" w:sz="18" w:space="0" w:color="FFFFFF" w:themeColor="background1"/>
            </w:tcBorders>
          </w:tcPr>
          <w:p w:rsidR="009A3AFE" w:rsidRDefault="009A3AFE" w:rsidP="009A3AFE">
            <w:pPr>
              <w:jc w:val="right"/>
              <w:rPr>
                <w:sz w:val="20"/>
              </w:rPr>
            </w:pPr>
          </w:p>
        </w:tc>
        <w:tc>
          <w:tcPr>
            <w:tcW w:w="421" w:type="dxa"/>
            <w:tcBorders>
              <w:right w:val="single" w:sz="18" w:space="0" w:color="FFFFFF" w:themeColor="background1"/>
            </w:tcBorders>
          </w:tcPr>
          <w:p w:rsidR="009A3AFE" w:rsidRDefault="009A3AFE" w:rsidP="009A3AFE">
            <w:pPr>
              <w:jc w:val="right"/>
              <w:rPr>
                <w:sz w:val="20"/>
              </w:rPr>
            </w:pPr>
          </w:p>
        </w:tc>
        <w:tc>
          <w:tcPr>
            <w:tcW w:w="1052" w:type="dxa"/>
            <w:tcBorders>
              <w:left w:val="single" w:sz="18" w:space="0" w:color="FFFFFF" w:themeColor="background1"/>
            </w:tcBorders>
          </w:tcPr>
          <w:p w:rsidR="009A3AFE" w:rsidRDefault="009A3AFE" w:rsidP="009A3AFE">
            <w:pPr>
              <w:jc w:val="right"/>
              <w:rPr>
                <w:sz w:val="20"/>
              </w:rPr>
            </w:pPr>
          </w:p>
        </w:tc>
        <w:tc>
          <w:tcPr>
            <w:tcW w:w="404" w:type="dxa"/>
            <w:tcBorders>
              <w:right w:val="single" w:sz="18" w:space="0" w:color="FFFFFF" w:themeColor="background1"/>
            </w:tcBorders>
          </w:tcPr>
          <w:p w:rsidR="009A3AFE" w:rsidRDefault="009A3AFE" w:rsidP="009A3AFE">
            <w:pPr>
              <w:jc w:val="right"/>
              <w:rPr>
                <w:sz w:val="20"/>
              </w:rPr>
            </w:pPr>
          </w:p>
        </w:tc>
        <w:tc>
          <w:tcPr>
            <w:tcW w:w="1047" w:type="dxa"/>
            <w:tcBorders>
              <w:left w:val="single" w:sz="18" w:space="0" w:color="FFFFFF" w:themeColor="background1"/>
            </w:tcBorders>
          </w:tcPr>
          <w:p w:rsidR="009A3AFE" w:rsidRDefault="009A3AFE" w:rsidP="009A3AFE">
            <w:pPr>
              <w:jc w:val="right"/>
              <w:rPr>
                <w:sz w:val="20"/>
              </w:rPr>
            </w:pPr>
          </w:p>
        </w:tc>
        <w:tc>
          <w:tcPr>
            <w:tcW w:w="398" w:type="dxa"/>
            <w:tcBorders>
              <w:right w:val="single" w:sz="18" w:space="0" w:color="FFFFFF" w:themeColor="background1"/>
            </w:tcBorders>
          </w:tcPr>
          <w:p w:rsidR="009A3AFE" w:rsidRDefault="009A3AFE" w:rsidP="009A3AFE">
            <w:pPr>
              <w:jc w:val="right"/>
              <w:rPr>
                <w:sz w:val="20"/>
              </w:rPr>
            </w:pPr>
          </w:p>
        </w:tc>
        <w:tc>
          <w:tcPr>
            <w:tcW w:w="994" w:type="dxa"/>
            <w:tcBorders>
              <w:left w:val="single" w:sz="18" w:space="0" w:color="FFFFFF" w:themeColor="background1"/>
            </w:tcBorders>
          </w:tcPr>
          <w:p w:rsidR="009A3AFE" w:rsidRDefault="009A3AFE" w:rsidP="009A3AFE">
            <w:pPr>
              <w:jc w:val="right"/>
              <w:rPr>
                <w:sz w:val="20"/>
              </w:rPr>
            </w:pPr>
          </w:p>
        </w:tc>
        <w:tc>
          <w:tcPr>
            <w:tcW w:w="373" w:type="dxa"/>
            <w:tcBorders>
              <w:right w:val="single" w:sz="18" w:space="0" w:color="FFFFFF" w:themeColor="background1"/>
            </w:tcBorders>
          </w:tcPr>
          <w:p w:rsidR="009A3AFE" w:rsidRDefault="009A3AFE" w:rsidP="009A3AFE">
            <w:pPr>
              <w:jc w:val="right"/>
              <w:rPr>
                <w:sz w:val="20"/>
              </w:rPr>
            </w:pPr>
          </w:p>
        </w:tc>
        <w:tc>
          <w:tcPr>
            <w:tcW w:w="1065" w:type="dxa"/>
            <w:tcBorders>
              <w:left w:val="single" w:sz="18" w:space="0" w:color="FFFFFF" w:themeColor="background1"/>
            </w:tcBorders>
          </w:tcPr>
          <w:p w:rsidR="009A3AFE" w:rsidRDefault="009A3AFE" w:rsidP="009A3AFE">
            <w:pPr>
              <w:jc w:val="right"/>
              <w:rPr>
                <w:sz w:val="20"/>
              </w:rPr>
            </w:pPr>
          </w:p>
        </w:tc>
      </w:tr>
      <w:tr w:rsidR="009A3AFE" w:rsidRPr="000E6955" w:rsidTr="000A3FCD">
        <w:tc>
          <w:tcPr>
            <w:tcW w:w="2714" w:type="dxa"/>
          </w:tcPr>
          <w:p w:rsidR="009A3AFE" w:rsidRDefault="009A3AFE" w:rsidP="009A3AFE">
            <w:pPr>
              <w:rPr>
                <w:sz w:val="20"/>
              </w:rPr>
            </w:pPr>
            <w:r>
              <w:rPr>
                <w:sz w:val="20"/>
              </w:rPr>
              <w:t>Cash deposits</w:t>
            </w:r>
          </w:p>
        </w:tc>
        <w:tc>
          <w:tcPr>
            <w:tcW w:w="396" w:type="dxa"/>
            <w:tcBorders>
              <w:right w:val="single" w:sz="18" w:space="0" w:color="FFFFFF" w:themeColor="background1"/>
            </w:tcBorders>
          </w:tcPr>
          <w:p w:rsidR="009A3AFE" w:rsidRDefault="009A3AFE" w:rsidP="009A3AFE">
            <w:pPr>
              <w:jc w:val="right"/>
              <w:rPr>
                <w:sz w:val="20"/>
              </w:rPr>
            </w:pPr>
          </w:p>
        </w:tc>
        <w:tc>
          <w:tcPr>
            <w:tcW w:w="1040" w:type="dxa"/>
            <w:tcBorders>
              <w:left w:val="single" w:sz="18" w:space="0" w:color="FFFFFF" w:themeColor="background1"/>
            </w:tcBorders>
          </w:tcPr>
          <w:p w:rsidR="009A3AFE" w:rsidRDefault="009A3AFE" w:rsidP="009A3AFE">
            <w:pPr>
              <w:jc w:val="right"/>
              <w:rPr>
                <w:sz w:val="20"/>
              </w:rPr>
            </w:pPr>
            <w:r>
              <w:rPr>
                <w:sz w:val="20"/>
              </w:rPr>
              <w:t>106.2</w:t>
            </w:r>
          </w:p>
        </w:tc>
        <w:tc>
          <w:tcPr>
            <w:tcW w:w="421" w:type="dxa"/>
            <w:tcBorders>
              <w:right w:val="single" w:sz="18" w:space="0" w:color="FFFFFF" w:themeColor="background1"/>
            </w:tcBorders>
          </w:tcPr>
          <w:p w:rsidR="009A3AFE" w:rsidRDefault="009A3AFE" w:rsidP="009A3AFE">
            <w:pPr>
              <w:jc w:val="right"/>
              <w:rPr>
                <w:sz w:val="20"/>
              </w:rPr>
            </w:pPr>
          </w:p>
        </w:tc>
        <w:tc>
          <w:tcPr>
            <w:tcW w:w="1052" w:type="dxa"/>
            <w:tcBorders>
              <w:left w:val="single" w:sz="18" w:space="0" w:color="FFFFFF" w:themeColor="background1"/>
            </w:tcBorders>
          </w:tcPr>
          <w:p w:rsidR="009A3AFE" w:rsidRDefault="009A3AFE" w:rsidP="009A3AFE">
            <w:pPr>
              <w:jc w:val="right"/>
              <w:rPr>
                <w:sz w:val="20"/>
              </w:rPr>
            </w:pPr>
          </w:p>
        </w:tc>
        <w:tc>
          <w:tcPr>
            <w:tcW w:w="404" w:type="dxa"/>
            <w:tcBorders>
              <w:right w:val="single" w:sz="18" w:space="0" w:color="FFFFFF" w:themeColor="background1"/>
            </w:tcBorders>
          </w:tcPr>
          <w:p w:rsidR="009A3AFE" w:rsidRDefault="009A3AFE" w:rsidP="009A3AFE">
            <w:pPr>
              <w:jc w:val="right"/>
              <w:rPr>
                <w:sz w:val="20"/>
              </w:rPr>
            </w:pPr>
          </w:p>
        </w:tc>
        <w:tc>
          <w:tcPr>
            <w:tcW w:w="1047" w:type="dxa"/>
            <w:tcBorders>
              <w:left w:val="single" w:sz="18" w:space="0" w:color="FFFFFF" w:themeColor="background1"/>
            </w:tcBorders>
          </w:tcPr>
          <w:p w:rsidR="009A3AFE" w:rsidRDefault="009A3AFE" w:rsidP="009A3AFE">
            <w:pPr>
              <w:jc w:val="right"/>
              <w:rPr>
                <w:sz w:val="20"/>
              </w:rPr>
            </w:pPr>
          </w:p>
        </w:tc>
        <w:tc>
          <w:tcPr>
            <w:tcW w:w="398" w:type="dxa"/>
            <w:tcBorders>
              <w:right w:val="single" w:sz="18" w:space="0" w:color="FFFFFF" w:themeColor="background1"/>
            </w:tcBorders>
          </w:tcPr>
          <w:p w:rsidR="009A3AFE" w:rsidRDefault="009A3AFE" w:rsidP="009A3AFE">
            <w:pPr>
              <w:jc w:val="right"/>
              <w:rPr>
                <w:sz w:val="20"/>
              </w:rPr>
            </w:pPr>
          </w:p>
        </w:tc>
        <w:tc>
          <w:tcPr>
            <w:tcW w:w="994" w:type="dxa"/>
            <w:tcBorders>
              <w:left w:val="single" w:sz="18" w:space="0" w:color="FFFFFF" w:themeColor="background1"/>
            </w:tcBorders>
          </w:tcPr>
          <w:p w:rsidR="009A3AFE" w:rsidRDefault="009A3AFE" w:rsidP="009A3AFE">
            <w:pPr>
              <w:jc w:val="right"/>
              <w:rPr>
                <w:sz w:val="20"/>
              </w:rPr>
            </w:pPr>
          </w:p>
        </w:tc>
        <w:tc>
          <w:tcPr>
            <w:tcW w:w="373" w:type="dxa"/>
            <w:tcBorders>
              <w:right w:val="single" w:sz="18" w:space="0" w:color="FFFFFF" w:themeColor="background1"/>
            </w:tcBorders>
          </w:tcPr>
          <w:p w:rsidR="009A3AFE" w:rsidRDefault="009A3AFE" w:rsidP="009A3AFE">
            <w:pPr>
              <w:jc w:val="right"/>
              <w:rPr>
                <w:sz w:val="20"/>
              </w:rPr>
            </w:pPr>
          </w:p>
        </w:tc>
        <w:tc>
          <w:tcPr>
            <w:tcW w:w="1065" w:type="dxa"/>
            <w:tcBorders>
              <w:left w:val="single" w:sz="18" w:space="0" w:color="FFFFFF" w:themeColor="background1"/>
            </w:tcBorders>
          </w:tcPr>
          <w:p w:rsidR="009A3AFE" w:rsidRDefault="009A3AFE" w:rsidP="009A3AFE">
            <w:pPr>
              <w:jc w:val="right"/>
              <w:rPr>
                <w:sz w:val="20"/>
              </w:rPr>
            </w:pPr>
            <w:r>
              <w:rPr>
                <w:sz w:val="20"/>
              </w:rPr>
              <w:t>36.6</w:t>
            </w:r>
          </w:p>
        </w:tc>
      </w:tr>
      <w:tr w:rsidR="009A3AFE" w:rsidRPr="000E6955" w:rsidTr="000A3FCD">
        <w:tc>
          <w:tcPr>
            <w:tcW w:w="2714" w:type="dxa"/>
          </w:tcPr>
          <w:p w:rsidR="009A3AFE" w:rsidRDefault="009A3AFE" w:rsidP="009A3AFE">
            <w:pPr>
              <w:rPr>
                <w:sz w:val="20"/>
              </w:rPr>
            </w:pPr>
            <w:r>
              <w:rPr>
                <w:sz w:val="20"/>
              </w:rPr>
              <w:t>Other investment balances</w:t>
            </w:r>
          </w:p>
        </w:tc>
        <w:tc>
          <w:tcPr>
            <w:tcW w:w="396" w:type="dxa"/>
            <w:tcBorders>
              <w:right w:val="single" w:sz="18" w:space="0" w:color="FFFFFF" w:themeColor="background1"/>
            </w:tcBorders>
          </w:tcPr>
          <w:p w:rsidR="009A3AFE" w:rsidRDefault="009A3AFE" w:rsidP="009A3AFE">
            <w:pPr>
              <w:jc w:val="right"/>
              <w:rPr>
                <w:sz w:val="20"/>
              </w:rPr>
            </w:pPr>
          </w:p>
        </w:tc>
        <w:tc>
          <w:tcPr>
            <w:tcW w:w="1040" w:type="dxa"/>
            <w:tcBorders>
              <w:left w:val="single" w:sz="18" w:space="0" w:color="FFFFFF" w:themeColor="background1"/>
            </w:tcBorders>
          </w:tcPr>
          <w:p w:rsidR="009A3AFE" w:rsidRDefault="009A3AFE" w:rsidP="009A3AFE">
            <w:pPr>
              <w:jc w:val="right"/>
              <w:rPr>
                <w:sz w:val="20"/>
              </w:rPr>
            </w:pPr>
            <w:r>
              <w:rPr>
                <w:sz w:val="20"/>
              </w:rPr>
              <w:t>12.7</w:t>
            </w:r>
          </w:p>
        </w:tc>
        <w:tc>
          <w:tcPr>
            <w:tcW w:w="421" w:type="dxa"/>
            <w:tcBorders>
              <w:right w:val="single" w:sz="18" w:space="0" w:color="FFFFFF" w:themeColor="background1"/>
            </w:tcBorders>
          </w:tcPr>
          <w:p w:rsidR="009A3AFE" w:rsidRDefault="009A3AFE" w:rsidP="009A3AFE">
            <w:pPr>
              <w:jc w:val="right"/>
              <w:rPr>
                <w:sz w:val="20"/>
              </w:rPr>
            </w:pPr>
          </w:p>
        </w:tc>
        <w:tc>
          <w:tcPr>
            <w:tcW w:w="1052" w:type="dxa"/>
            <w:tcBorders>
              <w:left w:val="single" w:sz="18" w:space="0" w:color="FFFFFF" w:themeColor="background1"/>
            </w:tcBorders>
          </w:tcPr>
          <w:p w:rsidR="009A3AFE" w:rsidRDefault="009A3AFE" w:rsidP="009A3AFE">
            <w:pPr>
              <w:jc w:val="right"/>
              <w:rPr>
                <w:sz w:val="20"/>
              </w:rPr>
            </w:pPr>
          </w:p>
        </w:tc>
        <w:tc>
          <w:tcPr>
            <w:tcW w:w="404" w:type="dxa"/>
            <w:tcBorders>
              <w:right w:val="single" w:sz="18" w:space="0" w:color="FFFFFF" w:themeColor="background1"/>
            </w:tcBorders>
          </w:tcPr>
          <w:p w:rsidR="009A3AFE" w:rsidRDefault="009A3AFE" w:rsidP="009A3AFE">
            <w:pPr>
              <w:jc w:val="right"/>
              <w:rPr>
                <w:sz w:val="20"/>
              </w:rPr>
            </w:pPr>
          </w:p>
        </w:tc>
        <w:tc>
          <w:tcPr>
            <w:tcW w:w="1047" w:type="dxa"/>
            <w:tcBorders>
              <w:left w:val="single" w:sz="18" w:space="0" w:color="FFFFFF" w:themeColor="background1"/>
            </w:tcBorders>
          </w:tcPr>
          <w:p w:rsidR="009A3AFE" w:rsidRDefault="009A3AFE" w:rsidP="009A3AFE">
            <w:pPr>
              <w:jc w:val="right"/>
              <w:rPr>
                <w:sz w:val="20"/>
              </w:rPr>
            </w:pPr>
          </w:p>
        </w:tc>
        <w:tc>
          <w:tcPr>
            <w:tcW w:w="398" w:type="dxa"/>
            <w:tcBorders>
              <w:right w:val="single" w:sz="18" w:space="0" w:color="FFFFFF" w:themeColor="background1"/>
            </w:tcBorders>
          </w:tcPr>
          <w:p w:rsidR="009A3AFE" w:rsidRDefault="009A3AFE" w:rsidP="009A3AFE">
            <w:pPr>
              <w:jc w:val="right"/>
              <w:rPr>
                <w:sz w:val="20"/>
              </w:rPr>
            </w:pPr>
          </w:p>
        </w:tc>
        <w:tc>
          <w:tcPr>
            <w:tcW w:w="994" w:type="dxa"/>
            <w:tcBorders>
              <w:left w:val="single" w:sz="18" w:space="0" w:color="FFFFFF" w:themeColor="background1"/>
            </w:tcBorders>
          </w:tcPr>
          <w:p w:rsidR="009A3AFE" w:rsidRDefault="009A3AFE" w:rsidP="009A3AFE">
            <w:pPr>
              <w:jc w:val="right"/>
              <w:rPr>
                <w:sz w:val="20"/>
              </w:rPr>
            </w:pPr>
          </w:p>
        </w:tc>
        <w:tc>
          <w:tcPr>
            <w:tcW w:w="373" w:type="dxa"/>
            <w:tcBorders>
              <w:right w:val="single" w:sz="18" w:space="0" w:color="FFFFFF" w:themeColor="background1"/>
            </w:tcBorders>
          </w:tcPr>
          <w:p w:rsidR="009A3AFE" w:rsidRDefault="009A3AFE" w:rsidP="009A3AFE">
            <w:pPr>
              <w:jc w:val="right"/>
              <w:rPr>
                <w:sz w:val="20"/>
              </w:rPr>
            </w:pPr>
          </w:p>
        </w:tc>
        <w:tc>
          <w:tcPr>
            <w:tcW w:w="1065" w:type="dxa"/>
            <w:tcBorders>
              <w:left w:val="single" w:sz="18" w:space="0" w:color="FFFFFF" w:themeColor="background1"/>
            </w:tcBorders>
          </w:tcPr>
          <w:p w:rsidR="009A3AFE" w:rsidRDefault="009A3AFE" w:rsidP="009A3AFE">
            <w:pPr>
              <w:jc w:val="right"/>
              <w:rPr>
                <w:sz w:val="20"/>
              </w:rPr>
            </w:pPr>
            <w:r>
              <w:rPr>
                <w:sz w:val="20"/>
              </w:rPr>
              <w:t>14.6</w:t>
            </w:r>
          </w:p>
        </w:tc>
      </w:tr>
      <w:tr w:rsidR="009A3AFE" w:rsidRPr="000E6955" w:rsidTr="000A3FCD">
        <w:tc>
          <w:tcPr>
            <w:tcW w:w="2714" w:type="dxa"/>
          </w:tcPr>
          <w:p w:rsidR="009A3AFE" w:rsidRDefault="009A3AFE" w:rsidP="009A3AFE">
            <w:pPr>
              <w:rPr>
                <w:sz w:val="20"/>
              </w:rPr>
            </w:pPr>
            <w:r>
              <w:rPr>
                <w:sz w:val="20"/>
              </w:rPr>
              <w:t>Amounts receivable from sales of investments</w:t>
            </w:r>
          </w:p>
        </w:tc>
        <w:tc>
          <w:tcPr>
            <w:tcW w:w="396" w:type="dxa"/>
            <w:tcBorders>
              <w:right w:val="single" w:sz="18" w:space="0" w:color="FFFFFF" w:themeColor="background1"/>
            </w:tcBorders>
          </w:tcPr>
          <w:p w:rsidR="009A3AFE" w:rsidRDefault="009A3AFE" w:rsidP="009A3AFE">
            <w:pPr>
              <w:jc w:val="right"/>
              <w:rPr>
                <w:sz w:val="20"/>
              </w:rPr>
            </w:pPr>
          </w:p>
        </w:tc>
        <w:tc>
          <w:tcPr>
            <w:tcW w:w="1040" w:type="dxa"/>
            <w:tcBorders>
              <w:left w:val="single" w:sz="18" w:space="0" w:color="FFFFFF" w:themeColor="background1"/>
            </w:tcBorders>
          </w:tcPr>
          <w:p w:rsidR="009A3AFE" w:rsidRDefault="009A3AFE" w:rsidP="009A3AFE">
            <w:pPr>
              <w:jc w:val="right"/>
              <w:rPr>
                <w:sz w:val="20"/>
              </w:rPr>
            </w:pPr>
          </w:p>
        </w:tc>
        <w:tc>
          <w:tcPr>
            <w:tcW w:w="421" w:type="dxa"/>
            <w:tcBorders>
              <w:right w:val="single" w:sz="18" w:space="0" w:color="FFFFFF" w:themeColor="background1"/>
            </w:tcBorders>
          </w:tcPr>
          <w:p w:rsidR="009A3AFE" w:rsidRDefault="009A3AFE" w:rsidP="009A3AFE">
            <w:pPr>
              <w:jc w:val="right"/>
              <w:rPr>
                <w:sz w:val="20"/>
              </w:rPr>
            </w:pPr>
          </w:p>
        </w:tc>
        <w:tc>
          <w:tcPr>
            <w:tcW w:w="1052" w:type="dxa"/>
            <w:tcBorders>
              <w:left w:val="single" w:sz="18" w:space="0" w:color="FFFFFF" w:themeColor="background1"/>
            </w:tcBorders>
          </w:tcPr>
          <w:p w:rsidR="009A3AFE" w:rsidRDefault="009A3AFE" w:rsidP="009A3AFE">
            <w:pPr>
              <w:jc w:val="right"/>
              <w:rPr>
                <w:sz w:val="20"/>
              </w:rPr>
            </w:pPr>
          </w:p>
        </w:tc>
        <w:tc>
          <w:tcPr>
            <w:tcW w:w="404" w:type="dxa"/>
            <w:tcBorders>
              <w:right w:val="single" w:sz="18" w:space="0" w:color="FFFFFF" w:themeColor="background1"/>
            </w:tcBorders>
          </w:tcPr>
          <w:p w:rsidR="009A3AFE" w:rsidRDefault="009A3AFE" w:rsidP="009A3AFE">
            <w:pPr>
              <w:jc w:val="right"/>
              <w:rPr>
                <w:sz w:val="20"/>
              </w:rPr>
            </w:pPr>
          </w:p>
        </w:tc>
        <w:tc>
          <w:tcPr>
            <w:tcW w:w="1047" w:type="dxa"/>
            <w:tcBorders>
              <w:left w:val="single" w:sz="18" w:space="0" w:color="FFFFFF" w:themeColor="background1"/>
            </w:tcBorders>
          </w:tcPr>
          <w:p w:rsidR="009A3AFE" w:rsidRDefault="009A3AFE" w:rsidP="009A3AFE">
            <w:pPr>
              <w:jc w:val="right"/>
              <w:rPr>
                <w:sz w:val="20"/>
              </w:rPr>
            </w:pPr>
          </w:p>
        </w:tc>
        <w:tc>
          <w:tcPr>
            <w:tcW w:w="398" w:type="dxa"/>
            <w:tcBorders>
              <w:right w:val="single" w:sz="18" w:space="0" w:color="FFFFFF" w:themeColor="background1"/>
            </w:tcBorders>
          </w:tcPr>
          <w:p w:rsidR="009A3AFE" w:rsidRDefault="009A3AFE" w:rsidP="009A3AFE">
            <w:pPr>
              <w:jc w:val="right"/>
              <w:rPr>
                <w:sz w:val="20"/>
              </w:rPr>
            </w:pPr>
          </w:p>
        </w:tc>
        <w:tc>
          <w:tcPr>
            <w:tcW w:w="994" w:type="dxa"/>
            <w:tcBorders>
              <w:left w:val="single" w:sz="18" w:space="0" w:color="FFFFFF" w:themeColor="background1"/>
            </w:tcBorders>
          </w:tcPr>
          <w:p w:rsidR="009A3AFE" w:rsidRDefault="009A3AFE" w:rsidP="009A3AFE">
            <w:pPr>
              <w:jc w:val="right"/>
              <w:rPr>
                <w:sz w:val="20"/>
              </w:rPr>
            </w:pPr>
          </w:p>
        </w:tc>
        <w:tc>
          <w:tcPr>
            <w:tcW w:w="373" w:type="dxa"/>
            <w:tcBorders>
              <w:right w:val="single" w:sz="18" w:space="0" w:color="FFFFFF" w:themeColor="background1"/>
            </w:tcBorders>
          </w:tcPr>
          <w:p w:rsidR="009A3AFE" w:rsidRDefault="009A3AFE" w:rsidP="009A3AFE">
            <w:pPr>
              <w:jc w:val="right"/>
              <w:rPr>
                <w:sz w:val="20"/>
              </w:rPr>
            </w:pPr>
          </w:p>
        </w:tc>
        <w:tc>
          <w:tcPr>
            <w:tcW w:w="1065" w:type="dxa"/>
            <w:tcBorders>
              <w:left w:val="single" w:sz="18" w:space="0" w:color="FFFFFF" w:themeColor="background1"/>
            </w:tcBorders>
          </w:tcPr>
          <w:p w:rsidR="009A3AFE" w:rsidRDefault="009A3AFE" w:rsidP="009A3AFE">
            <w:pPr>
              <w:jc w:val="right"/>
              <w:rPr>
                <w:sz w:val="20"/>
              </w:rPr>
            </w:pPr>
          </w:p>
        </w:tc>
      </w:tr>
      <w:tr w:rsidR="009A3AFE" w:rsidRPr="000E6955" w:rsidTr="000A3FCD">
        <w:tc>
          <w:tcPr>
            <w:tcW w:w="2714" w:type="dxa"/>
          </w:tcPr>
          <w:p w:rsidR="009A3AFE" w:rsidRDefault="009A3AFE" w:rsidP="009A3AFE">
            <w:pPr>
              <w:rPr>
                <w:sz w:val="20"/>
              </w:rPr>
            </w:pPr>
            <w:r>
              <w:rPr>
                <w:sz w:val="20"/>
              </w:rPr>
              <w:t>Amounts payable for purchases of investments</w:t>
            </w:r>
          </w:p>
        </w:tc>
        <w:tc>
          <w:tcPr>
            <w:tcW w:w="396" w:type="dxa"/>
            <w:tcBorders>
              <w:bottom w:val="single" w:sz="18" w:space="0" w:color="auto"/>
              <w:right w:val="single" w:sz="18" w:space="0" w:color="FFFFFF" w:themeColor="background1"/>
            </w:tcBorders>
          </w:tcPr>
          <w:p w:rsidR="009A3AFE" w:rsidRDefault="009A3AFE" w:rsidP="009A3AFE">
            <w:pPr>
              <w:jc w:val="right"/>
              <w:rPr>
                <w:sz w:val="20"/>
              </w:rPr>
            </w:pPr>
          </w:p>
        </w:tc>
        <w:tc>
          <w:tcPr>
            <w:tcW w:w="1040" w:type="dxa"/>
            <w:tcBorders>
              <w:left w:val="single" w:sz="18" w:space="0" w:color="FFFFFF" w:themeColor="background1"/>
              <w:bottom w:val="single" w:sz="18" w:space="0" w:color="auto"/>
            </w:tcBorders>
          </w:tcPr>
          <w:p w:rsidR="009A3AFE" w:rsidRDefault="009A3AFE" w:rsidP="009A3AFE">
            <w:pPr>
              <w:jc w:val="right"/>
              <w:rPr>
                <w:sz w:val="20"/>
              </w:rPr>
            </w:pPr>
          </w:p>
        </w:tc>
        <w:tc>
          <w:tcPr>
            <w:tcW w:w="421" w:type="dxa"/>
            <w:tcBorders>
              <w:right w:val="single" w:sz="18" w:space="0" w:color="FFFFFF" w:themeColor="background1"/>
            </w:tcBorders>
          </w:tcPr>
          <w:p w:rsidR="009A3AFE" w:rsidRDefault="009A3AFE" w:rsidP="009A3AFE">
            <w:pPr>
              <w:jc w:val="right"/>
              <w:rPr>
                <w:sz w:val="20"/>
              </w:rPr>
            </w:pPr>
          </w:p>
        </w:tc>
        <w:tc>
          <w:tcPr>
            <w:tcW w:w="1052" w:type="dxa"/>
            <w:tcBorders>
              <w:left w:val="single" w:sz="18" w:space="0" w:color="FFFFFF" w:themeColor="background1"/>
            </w:tcBorders>
          </w:tcPr>
          <w:p w:rsidR="009A3AFE" w:rsidRDefault="009A3AFE" w:rsidP="009A3AFE">
            <w:pPr>
              <w:jc w:val="right"/>
              <w:rPr>
                <w:sz w:val="20"/>
              </w:rPr>
            </w:pPr>
          </w:p>
        </w:tc>
        <w:tc>
          <w:tcPr>
            <w:tcW w:w="404" w:type="dxa"/>
            <w:tcBorders>
              <w:right w:val="single" w:sz="18" w:space="0" w:color="FFFFFF" w:themeColor="background1"/>
            </w:tcBorders>
          </w:tcPr>
          <w:p w:rsidR="009A3AFE" w:rsidRDefault="009A3AFE" w:rsidP="009A3AFE">
            <w:pPr>
              <w:jc w:val="right"/>
              <w:rPr>
                <w:sz w:val="20"/>
              </w:rPr>
            </w:pPr>
          </w:p>
        </w:tc>
        <w:tc>
          <w:tcPr>
            <w:tcW w:w="1047" w:type="dxa"/>
            <w:tcBorders>
              <w:left w:val="single" w:sz="18" w:space="0" w:color="FFFFFF" w:themeColor="background1"/>
            </w:tcBorders>
          </w:tcPr>
          <w:p w:rsidR="009A3AFE" w:rsidRDefault="009A3AFE" w:rsidP="009A3AFE">
            <w:pPr>
              <w:jc w:val="right"/>
              <w:rPr>
                <w:sz w:val="20"/>
              </w:rPr>
            </w:pPr>
          </w:p>
        </w:tc>
        <w:tc>
          <w:tcPr>
            <w:tcW w:w="398" w:type="dxa"/>
            <w:tcBorders>
              <w:right w:val="single" w:sz="18" w:space="0" w:color="FFFFFF" w:themeColor="background1"/>
            </w:tcBorders>
          </w:tcPr>
          <w:p w:rsidR="009A3AFE" w:rsidRDefault="009A3AFE" w:rsidP="009A3AFE">
            <w:pPr>
              <w:jc w:val="right"/>
              <w:rPr>
                <w:sz w:val="20"/>
              </w:rPr>
            </w:pPr>
          </w:p>
        </w:tc>
        <w:tc>
          <w:tcPr>
            <w:tcW w:w="994" w:type="dxa"/>
            <w:tcBorders>
              <w:left w:val="single" w:sz="18" w:space="0" w:color="FFFFFF" w:themeColor="background1"/>
            </w:tcBorders>
          </w:tcPr>
          <w:p w:rsidR="009A3AFE" w:rsidRDefault="009A3AFE" w:rsidP="009A3AFE">
            <w:pPr>
              <w:jc w:val="right"/>
              <w:rPr>
                <w:sz w:val="20"/>
              </w:rPr>
            </w:pPr>
          </w:p>
        </w:tc>
        <w:tc>
          <w:tcPr>
            <w:tcW w:w="373" w:type="dxa"/>
            <w:tcBorders>
              <w:bottom w:val="single" w:sz="18" w:space="0" w:color="auto"/>
              <w:right w:val="single" w:sz="18" w:space="0" w:color="FFFFFF" w:themeColor="background1"/>
            </w:tcBorders>
          </w:tcPr>
          <w:p w:rsidR="009A3AFE" w:rsidRDefault="009A3AFE" w:rsidP="009A3AFE">
            <w:pPr>
              <w:jc w:val="right"/>
              <w:rPr>
                <w:sz w:val="20"/>
              </w:rPr>
            </w:pPr>
          </w:p>
        </w:tc>
        <w:tc>
          <w:tcPr>
            <w:tcW w:w="1065" w:type="dxa"/>
            <w:tcBorders>
              <w:left w:val="single" w:sz="18" w:space="0" w:color="FFFFFF" w:themeColor="background1"/>
              <w:bottom w:val="single" w:sz="18" w:space="0" w:color="auto"/>
            </w:tcBorders>
          </w:tcPr>
          <w:p w:rsidR="009A3AFE" w:rsidRDefault="009A3AFE" w:rsidP="009A3AFE">
            <w:pPr>
              <w:jc w:val="right"/>
              <w:rPr>
                <w:sz w:val="20"/>
              </w:rPr>
            </w:pPr>
          </w:p>
        </w:tc>
      </w:tr>
      <w:tr w:rsidR="009A3AFE" w:rsidRPr="000E6955" w:rsidTr="000A3FCD">
        <w:tc>
          <w:tcPr>
            <w:tcW w:w="2714" w:type="dxa"/>
          </w:tcPr>
          <w:p w:rsidR="009A3AFE" w:rsidRDefault="009A3AFE" w:rsidP="009A3AFE">
            <w:pPr>
              <w:rPr>
                <w:sz w:val="20"/>
              </w:rPr>
            </w:pPr>
          </w:p>
        </w:tc>
        <w:tc>
          <w:tcPr>
            <w:tcW w:w="396" w:type="dxa"/>
            <w:tcBorders>
              <w:top w:val="single" w:sz="18" w:space="0" w:color="auto"/>
              <w:bottom w:val="single" w:sz="18" w:space="0" w:color="auto"/>
              <w:right w:val="single" w:sz="18" w:space="0" w:color="FFFFFF" w:themeColor="background1"/>
            </w:tcBorders>
          </w:tcPr>
          <w:p w:rsidR="009A3AFE" w:rsidRDefault="009A3AFE" w:rsidP="009A3AFE">
            <w:pPr>
              <w:jc w:val="right"/>
              <w:rPr>
                <w:sz w:val="20"/>
              </w:rPr>
            </w:pPr>
          </w:p>
        </w:tc>
        <w:tc>
          <w:tcPr>
            <w:tcW w:w="1040" w:type="dxa"/>
            <w:tcBorders>
              <w:top w:val="single" w:sz="18" w:space="0" w:color="auto"/>
              <w:left w:val="single" w:sz="18" w:space="0" w:color="FFFFFF" w:themeColor="background1"/>
              <w:bottom w:val="single" w:sz="18" w:space="0" w:color="auto"/>
            </w:tcBorders>
          </w:tcPr>
          <w:p w:rsidR="009A3AFE" w:rsidRDefault="009A3AFE" w:rsidP="009A3AFE">
            <w:pPr>
              <w:jc w:val="right"/>
              <w:rPr>
                <w:sz w:val="20"/>
              </w:rPr>
            </w:pPr>
            <w:r>
              <w:rPr>
                <w:sz w:val="20"/>
              </w:rPr>
              <w:t>3,950.3</w:t>
            </w:r>
          </w:p>
        </w:tc>
        <w:tc>
          <w:tcPr>
            <w:tcW w:w="421" w:type="dxa"/>
            <w:tcBorders>
              <w:right w:val="single" w:sz="18" w:space="0" w:color="FFFFFF" w:themeColor="background1"/>
            </w:tcBorders>
          </w:tcPr>
          <w:p w:rsidR="009A3AFE" w:rsidRDefault="009A3AFE" w:rsidP="009A3AFE">
            <w:pPr>
              <w:jc w:val="right"/>
              <w:rPr>
                <w:sz w:val="20"/>
              </w:rPr>
            </w:pPr>
          </w:p>
        </w:tc>
        <w:tc>
          <w:tcPr>
            <w:tcW w:w="1052" w:type="dxa"/>
            <w:tcBorders>
              <w:left w:val="single" w:sz="18" w:space="0" w:color="FFFFFF" w:themeColor="background1"/>
            </w:tcBorders>
          </w:tcPr>
          <w:p w:rsidR="009A3AFE" w:rsidRDefault="009A3AFE" w:rsidP="009A3AFE">
            <w:pPr>
              <w:jc w:val="right"/>
              <w:rPr>
                <w:sz w:val="20"/>
              </w:rPr>
            </w:pPr>
          </w:p>
        </w:tc>
        <w:tc>
          <w:tcPr>
            <w:tcW w:w="404" w:type="dxa"/>
            <w:tcBorders>
              <w:right w:val="single" w:sz="18" w:space="0" w:color="FFFFFF" w:themeColor="background1"/>
            </w:tcBorders>
          </w:tcPr>
          <w:p w:rsidR="009A3AFE" w:rsidRDefault="009A3AFE" w:rsidP="009A3AFE">
            <w:pPr>
              <w:jc w:val="right"/>
              <w:rPr>
                <w:sz w:val="20"/>
              </w:rPr>
            </w:pPr>
          </w:p>
        </w:tc>
        <w:tc>
          <w:tcPr>
            <w:tcW w:w="1047" w:type="dxa"/>
            <w:tcBorders>
              <w:left w:val="single" w:sz="18" w:space="0" w:color="FFFFFF" w:themeColor="background1"/>
            </w:tcBorders>
          </w:tcPr>
          <w:p w:rsidR="009A3AFE" w:rsidRDefault="009A3AFE" w:rsidP="009A3AFE">
            <w:pPr>
              <w:jc w:val="right"/>
              <w:rPr>
                <w:sz w:val="20"/>
              </w:rPr>
            </w:pPr>
          </w:p>
        </w:tc>
        <w:tc>
          <w:tcPr>
            <w:tcW w:w="398" w:type="dxa"/>
            <w:tcBorders>
              <w:right w:val="single" w:sz="18" w:space="0" w:color="FFFFFF" w:themeColor="background1"/>
            </w:tcBorders>
          </w:tcPr>
          <w:p w:rsidR="009A3AFE" w:rsidRDefault="009A3AFE" w:rsidP="009A3AFE">
            <w:pPr>
              <w:jc w:val="right"/>
              <w:rPr>
                <w:sz w:val="20"/>
              </w:rPr>
            </w:pPr>
          </w:p>
        </w:tc>
        <w:tc>
          <w:tcPr>
            <w:tcW w:w="994" w:type="dxa"/>
            <w:tcBorders>
              <w:left w:val="single" w:sz="18" w:space="0" w:color="FFFFFF" w:themeColor="background1"/>
            </w:tcBorders>
          </w:tcPr>
          <w:p w:rsidR="009A3AFE" w:rsidRDefault="009A3AFE" w:rsidP="009A3AFE">
            <w:pPr>
              <w:jc w:val="right"/>
              <w:rPr>
                <w:sz w:val="20"/>
              </w:rPr>
            </w:pPr>
          </w:p>
        </w:tc>
        <w:tc>
          <w:tcPr>
            <w:tcW w:w="373" w:type="dxa"/>
            <w:tcBorders>
              <w:top w:val="single" w:sz="18" w:space="0" w:color="auto"/>
              <w:bottom w:val="single" w:sz="18" w:space="0" w:color="auto"/>
              <w:right w:val="single" w:sz="18" w:space="0" w:color="FFFFFF" w:themeColor="background1"/>
            </w:tcBorders>
          </w:tcPr>
          <w:p w:rsidR="009A3AFE" w:rsidRDefault="009A3AFE" w:rsidP="009A3AFE">
            <w:pPr>
              <w:jc w:val="right"/>
              <w:rPr>
                <w:sz w:val="20"/>
              </w:rPr>
            </w:pPr>
          </w:p>
        </w:tc>
        <w:tc>
          <w:tcPr>
            <w:tcW w:w="1065" w:type="dxa"/>
            <w:tcBorders>
              <w:top w:val="single" w:sz="18" w:space="0" w:color="auto"/>
              <w:left w:val="single" w:sz="18" w:space="0" w:color="FFFFFF" w:themeColor="background1"/>
              <w:bottom w:val="single" w:sz="18" w:space="0" w:color="auto"/>
            </w:tcBorders>
          </w:tcPr>
          <w:p w:rsidR="009A3AFE" w:rsidRDefault="009A3AFE" w:rsidP="009A3AFE">
            <w:pPr>
              <w:jc w:val="right"/>
              <w:rPr>
                <w:sz w:val="20"/>
              </w:rPr>
            </w:pPr>
            <w:r>
              <w:rPr>
                <w:sz w:val="20"/>
              </w:rPr>
              <w:t>4,281.2</w:t>
            </w:r>
          </w:p>
        </w:tc>
      </w:tr>
    </w:tbl>
    <w:p w:rsidR="009A3AFE" w:rsidRDefault="009A3AFE" w:rsidP="009A3AFE">
      <w:pPr>
        <w:spacing w:after="120"/>
        <w:rPr>
          <w:szCs w:val="24"/>
        </w:rPr>
      </w:pPr>
    </w:p>
    <w:p w:rsidR="009A3AFE" w:rsidRPr="00166665" w:rsidRDefault="009A3AFE" w:rsidP="009A3AFE">
      <w:pPr>
        <w:spacing w:after="240"/>
        <w:ind w:left="720"/>
        <w:jc w:val="both"/>
        <w:rPr>
          <w:szCs w:val="24"/>
        </w:rPr>
      </w:pPr>
      <w:r w:rsidRPr="00166665">
        <w:rPr>
          <w:szCs w:val="24"/>
        </w:rPr>
        <w:t>Transaction costs are included in the cost of purchases and in sale proceeds.  Transaction costs include costs charged directly to the Pension Fund, such as fees, commissions paid to agents, brokers and dealers, levies by regulatory agencies and securities exchanges and transfer taxes and duties.  Transaction costs incurred during the year 20</w:t>
      </w:r>
      <w:r>
        <w:rPr>
          <w:szCs w:val="24"/>
        </w:rPr>
        <w:t>11</w:t>
      </w:r>
      <w:r w:rsidRPr="00166665">
        <w:rPr>
          <w:szCs w:val="24"/>
        </w:rPr>
        <w:t>/1</w:t>
      </w:r>
      <w:r>
        <w:rPr>
          <w:szCs w:val="24"/>
        </w:rPr>
        <w:t>2</w:t>
      </w:r>
      <w:r w:rsidRPr="00166665">
        <w:rPr>
          <w:szCs w:val="24"/>
        </w:rPr>
        <w:t xml:space="preserve"> amounted to </w:t>
      </w:r>
      <w:r w:rsidRPr="00C94A41">
        <w:rPr>
          <w:szCs w:val="24"/>
        </w:rPr>
        <w:t>£2,054,422 (2010/11: £2,316,511).</w:t>
      </w:r>
    </w:p>
    <w:p w:rsidR="009A3AFE" w:rsidRDefault="009A3AFE" w:rsidP="009A3AFE">
      <w:pPr>
        <w:spacing w:after="120"/>
        <w:ind w:left="720"/>
        <w:jc w:val="both"/>
        <w:rPr>
          <w:szCs w:val="24"/>
        </w:rPr>
      </w:pPr>
      <w:r w:rsidRPr="00166665">
        <w:rPr>
          <w:szCs w:val="24"/>
        </w:rPr>
        <w:t>The investment assets at 31 March 201</w:t>
      </w:r>
      <w:r>
        <w:rPr>
          <w:szCs w:val="24"/>
        </w:rPr>
        <w:t>2</w:t>
      </w:r>
      <w:r w:rsidRPr="00166665">
        <w:rPr>
          <w:szCs w:val="24"/>
        </w:rPr>
        <w:t xml:space="preserve"> are managed by </w:t>
      </w:r>
      <w:r>
        <w:rPr>
          <w:szCs w:val="24"/>
        </w:rPr>
        <w:t>seven</w:t>
      </w:r>
      <w:r w:rsidRPr="00166665">
        <w:rPr>
          <w:szCs w:val="24"/>
        </w:rPr>
        <w:t xml:space="preserve"> external investment managers, with the remaining cash deposits managed in-house.  The split of the investment assets by investment manager is shown below.</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9A3AFE" w:rsidTr="009A3AFE">
        <w:tc>
          <w:tcPr>
            <w:tcW w:w="5058" w:type="dxa"/>
          </w:tcPr>
          <w:p w:rsidR="009A3AFE" w:rsidRDefault="009A3AFE" w:rsidP="009A3AFE">
            <w:pPr>
              <w:rPr>
                <w:b/>
                <w:szCs w:val="24"/>
              </w:rPr>
            </w:pPr>
          </w:p>
        </w:tc>
        <w:tc>
          <w:tcPr>
            <w:tcW w:w="1559" w:type="dxa"/>
          </w:tcPr>
          <w:p w:rsidR="009A3AFE" w:rsidRDefault="009A3AFE" w:rsidP="009A3AFE">
            <w:pPr>
              <w:jc w:val="right"/>
              <w:rPr>
                <w:b/>
                <w:szCs w:val="24"/>
              </w:rPr>
            </w:pPr>
            <w:r>
              <w:rPr>
                <w:b/>
                <w:szCs w:val="24"/>
              </w:rPr>
              <w:t>2011/12</w:t>
            </w:r>
          </w:p>
          <w:p w:rsidR="009A3AFE" w:rsidRDefault="009A3AFE" w:rsidP="009A3AFE">
            <w:pPr>
              <w:jc w:val="right"/>
              <w:rPr>
                <w:b/>
                <w:szCs w:val="24"/>
              </w:rPr>
            </w:pPr>
            <w:r>
              <w:rPr>
                <w:b/>
                <w:szCs w:val="24"/>
              </w:rPr>
              <w:t>£m</w:t>
            </w:r>
          </w:p>
        </w:tc>
        <w:tc>
          <w:tcPr>
            <w:tcW w:w="430" w:type="dxa"/>
            <w:tcBorders>
              <w:right w:val="single" w:sz="4" w:space="0" w:color="FFFFFF" w:themeColor="background1"/>
            </w:tcBorders>
          </w:tcPr>
          <w:p w:rsidR="009A3AFE" w:rsidRDefault="009A3AFE" w:rsidP="009A3AFE">
            <w:pPr>
              <w:jc w:val="right"/>
              <w:rPr>
                <w:b/>
                <w:szCs w:val="24"/>
              </w:rPr>
            </w:pPr>
          </w:p>
          <w:p w:rsidR="009A3AFE" w:rsidRDefault="009A3AFE" w:rsidP="009A3AFE">
            <w:pPr>
              <w:jc w:val="right"/>
              <w:rPr>
                <w:b/>
                <w:szCs w:val="24"/>
              </w:rPr>
            </w:pPr>
          </w:p>
        </w:tc>
        <w:tc>
          <w:tcPr>
            <w:tcW w:w="1696" w:type="dxa"/>
            <w:tcBorders>
              <w:left w:val="single" w:sz="4" w:space="0" w:color="FFFFFF" w:themeColor="background1"/>
            </w:tcBorders>
          </w:tcPr>
          <w:p w:rsidR="009A3AFE" w:rsidRDefault="009A3AFE" w:rsidP="009A3AFE">
            <w:pPr>
              <w:jc w:val="right"/>
              <w:rPr>
                <w:b/>
                <w:szCs w:val="24"/>
              </w:rPr>
            </w:pPr>
            <w:r>
              <w:rPr>
                <w:b/>
                <w:szCs w:val="24"/>
              </w:rPr>
              <w:t>%</w:t>
            </w:r>
          </w:p>
          <w:p w:rsidR="009A3AFE" w:rsidRDefault="009A3AFE" w:rsidP="009A3AFE">
            <w:pPr>
              <w:jc w:val="right"/>
              <w:rPr>
                <w:b/>
                <w:szCs w:val="24"/>
              </w:rPr>
            </w:pPr>
          </w:p>
        </w:tc>
      </w:tr>
      <w:tr w:rsidR="009A3AFE" w:rsidRPr="007A07AD" w:rsidTr="009A3AFE">
        <w:tc>
          <w:tcPr>
            <w:tcW w:w="5058" w:type="dxa"/>
          </w:tcPr>
          <w:p w:rsidR="009A3AFE" w:rsidRPr="000314DE" w:rsidRDefault="009A3AFE" w:rsidP="009A3AFE">
            <w:pPr>
              <w:rPr>
                <w:b/>
                <w:szCs w:val="24"/>
              </w:rPr>
            </w:pPr>
            <w:r w:rsidRPr="000314DE">
              <w:rPr>
                <w:b/>
                <w:szCs w:val="24"/>
              </w:rPr>
              <w:t>Manager</w:t>
            </w:r>
          </w:p>
          <w:p w:rsidR="009A3AFE" w:rsidRPr="007A07AD" w:rsidRDefault="009A3AFE" w:rsidP="009A3AFE">
            <w:pPr>
              <w:rPr>
                <w:szCs w:val="24"/>
              </w:rPr>
            </w:pPr>
          </w:p>
        </w:tc>
        <w:tc>
          <w:tcPr>
            <w:tcW w:w="1559" w:type="dxa"/>
          </w:tcPr>
          <w:p w:rsidR="009A3AFE" w:rsidRPr="007A07AD" w:rsidRDefault="009A3AFE" w:rsidP="009A3AFE">
            <w:pPr>
              <w:jc w:val="right"/>
              <w:rPr>
                <w:szCs w:val="24"/>
              </w:rPr>
            </w:pP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p>
        </w:tc>
      </w:tr>
      <w:tr w:rsidR="009A3AFE" w:rsidRPr="007A07AD" w:rsidTr="009A3AFE">
        <w:tc>
          <w:tcPr>
            <w:tcW w:w="5058" w:type="dxa"/>
          </w:tcPr>
          <w:p w:rsidR="009A3AFE" w:rsidRPr="000314DE" w:rsidRDefault="009A3AFE" w:rsidP="009A3AFE">
            <w:pPr>
              <w:rPr>
                <w:szCs w:val="24"/>
              </w:rPr>
            </w:pPr>
            <w:r w:rsidRPr="000314DE">
              <w:rPr>
                <w:szCs w:val="24"/>
              </w:rPr>
              <w:t>Legal &amp; General Investment Management</w:t>
            </w:r>
          </w:p>
        </w:tc>
        <w:tc>
          <w:tcPr>
            <w:tcW w:w="1559" w:type="dxa"/>
          </w:tcPr>
          <w:p w:rsidR="009A3AFE" w:rsidRPr="007A07AD" w:rsidRDefault="009A3AFE" w:rsidP="009A3AFE">
            <w:pPr>
              <w:jc w:val="right"/>
              <w:rPr>
                <w:szCs w:val="24"/>
              </w:rPr>
            </w:pPr>
            <w:r>
              <w:rPr>
                <w:szCs w:val="24"/>
              </w:rPr>
              <w:t>1,057.4</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r>
              <w:rPr>
                <w:szCs w:val="24"/>
              </w:rPr>
              <w:t>24</w:t>
            </w:r>
          </w:p>
        </w:tc>
      </w:tr>
      <w:tr w:rsidR="009A3AFE" w:rsidRPr="007A07AD" w:rsidTr="009A3AFE">
        <w:tc>
          <w:tcPr>
            <w:tcW w:w="5058" w:type="dxa"/>
          </w:tcPr>
          <w:p w:rsidR="009A3AFE" w:rsidRPr="000314DE" w:rsidRDefault="009A3AFE" w:rsidP="009A3AFE">
            <w:pPr>
              <w:rPr>
                <w:szCs w:val="24"/>
              </w:rPr>
            </w:pPr>
            <w:r>
              <w:rPr>
                <w:szCs w:val="24"/>
              </w:rPr>
              <w:t>Newton Investment Management</w:t>
            </w:r>
          </w:p>
        </w:tc>
        <w:tc>
          <w:tcPr>
            <w:tcW w:w="1559" w:type="dxa"/>
          </w:tcPr>
          <w:p w:rsidR="009A3AFE" w:rsidRPr="007A07AD" w:rsidRDefault="009A3AFE" w:rsidP="009A3AFE">
            <w:pPr>
              <w:jc w:val="right"/>
              <w:rPr>
                <w:szCs w:val="24"/>
              </w:rPr>
            </w:pPr>
            <w:r>
              <w:rPr>
                <w:szCs w:val="24"/>
              </w:rPr>
              <w:t>615.6</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r>
              <w:rPr>
                <w:szCs w:val="24"/>
              </w:rPr>
              <w:t>14</w:t>
            </w:r>
          </w:p>
        </w:tc>
      </w:tr>
      <w:tr w:rsidR="009A3AFE" w:rsidRPr="007A07AD" w:rsidTr="009A3AFE">
        <w:tc>
          <w:tcPr>
            <w:tcW w:w="5058" w:type="dxa"/>
          </w:tcPr>
          <w:p w:rsidR="009A3AFE" w:rsidRDefault="009A3AFE" w:rsidP="009A3AFE">
            <w:pPr>
              <w:rPr>
                <w:szCs w:val="24"/>
              </w:rPr>
            </w:pPr>
            <w:r>
              <w:rPr>
                <w:szCs w:val="24"/>
              </w:rPr>
              <w:t>J P Morgan Asset Management</w:t>
            </w:r>
          </w:p>
        </w:tc>
        <w:tc>
          <w:tcPr>
            <w:tcW w:w="1559" w:type="dxa"/>
          </w:tcPr>
          <w:p w:rsidR="009A3AFE" w:rsidRPr="007A07AD" w:rsidRDefault="009A3AFE" w:rsidP="009A3AFE">
            <w:pPr>
              <w:jc w:val="right"/>
              <w:rPr>
                <w:szCs w:val="24"/>
              </w:rPr>
            </w:pPr>
            <w:r>
              <w:rPr>
                <w:szCs w:val="24"/>
              </w:rPr>
              <w:t>501.4</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r>
              <w:rPr>
                <w:szCs w:val="24"/>
              </w:rPr>
              <w:t>12</w:t>
            </w:r>
          </w:p>
        </w:tc>
      </w:tr>
      <w:tr w:rsidR="009A3AFE" w:rsidRPr="007A07AD" w:rsidTr="009A3AFE">
        <w:tc>
          <w:tcPr>
            <w:tcW w:w="5058" w:type="dxa"/>
          </w:tcPr>
          <w:p w:rsidR="009A3AFE" w:rsidRDefault="009A3AFE" w:rsidP="009A3AFE">
            <w:pPr>
              <w:rPr>
                <w:szCs w:val="24"/>
              </w:rPr>
            </w:pPr>
            <w:r>
              <w:rPr>
                <w:szCs w:val="24"/>
              </w:rPr>
              <w:t>UBS Global Asset Management</w:t>
            </w:r>
          </w:p>
        </w:tc>
        <w:tc>
          <w:tcPr>
            <w:tcW w:w="1559" w:type="dxa"/>
          </w:tcPr>
          <w:p w:rsidR="009A3AFE" w:rsidRPr="007A07AD" w:rsidRDefault="009A3AFE" w:rsidP="009A3AFE">
            <w:pPr>
              <w:jc w:val="right"/>
              <w:rPr>
                <w:szCs w:val="24"/>
              </w:rPr>
            </w:pPr>
            <w:r>
              <w:rPr>
                <w:szCs w:val="24"/>
              </w:rPr>
              <w:t>672.7</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r>
              <w:rPr>
                <w:szCs w:val="24"/>
              </w:rPr>
              <w:t>15</w:t>
            </w:r>
          </w:p>
        </w:tc>
      </w:tr>
      <w:tr w:rsidR="009A3AFE" w:rsidRPr="007A07AD" w:rsidTr="009A3AFE">
        <w:tc>
          <w:tcPr>
            <w:tcW w:w="5058" w:type="dxa"/>
          </w:tcPr>
          <w:p w:rsidR="009A3AFE" w:rsidRDefault="009A3AFE" w:rsidP="009A3AFE">
            <w:pPr>
              <w:rPr>
                <w:szCs w:val="24"/>
              </w:rPr>
            </w:pPr>
            <w:r>
              <w:rPr>
                <w:szCs w:val="24"/>
              </w:rPr>
              <w:t>Knight Frank</w:t>
            </w:r>
          </w:p>
        </w:tc>
        <w:tc>
          <w:tcPr>
            <w:tcW w:w="1559" w:type="dxa"/>
          </w:tcPr>
          <w:p w:rsidR="009A3AFE" w:rsidRPr="007A07AD" w:rsidRDefault="009A3AFE" w:rsidP="009A3AFE">
            <w:pPr>
              <w:jc w:val="right"/>
              <w:rPr>
                <w:szCs w:val="24"/>
              </w:rPr>
            </w:pPr>
            <w:r>
              <w:rPr>
                <w:szCs w:val="24"/>
              </w:rPr>
              <w:t>383.9</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r>
              <w:rPr>
                <w:szCs w:val="24"/>
              </w:rPr>
              <w:t>9</w:t>
            </w:r>
          </w:p>
        </w:tc>
      </w:tr>
      <w:tr w:rsidR="009A3AFE" w:rsidRPr="007A07AD" w:rsidTr="009A3AFE">
        <w:tc>
          <w:tcPr>
            <w:tcW w:w="5058" w:type="dxa"/>
          </w:tcPr>
          <w:p w:rsidR="009A3AFE" w:rsidRDefault="009A3AFE" w:rsidP="009A3AFE">
            <w:pPr>
              <w:rPr>
                <w:szCs w:val="24"/>
              </w:rPr>
            </w:pPr>
            <w:r>
              <w:rPr>
                <w:szCs w:val="24"/>
              </w:rPr>
              <w:t>Capital Dynamics</w:t>
            </w:r>
          </w:p>
        </w:tc>
        <w:tc>
          <w:tcPr>
            <w:tcW w:w="1559" w:type="dxa"/>
          </w:tcPr>
          <w:p w:rsidR="009A3AFE" w:rsidRPr="007A07AD" w:rsidRDefault="009A3AFE" w:rsidP="009A3AFE">
            <w:pPr>
              <w:jc w:val="right"/>
              <w:rPr>
                <w:szCs w:val="24"/>
              </w:rPr>
            </w:pPr>
            <w:r>
              <w:rPr>
                <w:szCs w:val="24"/>
              </w:rPr>
              <w:t>222.4</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r>
              <w:rPr>
                <w:szCs w:val="24"/>
              </w:rPr>
              <w:t>5</w:t>
            </w:r>
          </w:p>
        </w:tc>
      </w:tr>
      <w:tr w:rsidR="009A3AFE" w:rsidRPr="007A07AD" w:rsidTr="009A3AFE">
        <w:tc>
          <w:tcPr>
            <w:tcW w:w="5058" w:type="dxa"/>
          </w:tcPr>
          <w:p w:rsidR="009A3AFE" w:rsidRDefault="009A3AFE" w:rsidP="009A3AFE">
            <w:pPr>
              <w:rPr>
                <w:szCs w:val="24"/>
              </w:rPr>
            </w:pPr>
            <w:r>
              <w:rPr>
                <w:szCs w:val="24"/>
              </w:rPr>
              <w:t>Mellon Transition Management</w:t>
            </w:r>
          </w:p>
        </w:tc>
        <w:tc>
          <w:tcPr>
            <w:tcW w:w="1559" w:type="dxa"/>
          </w:tcPr>
          <w:p w:rsidR="009A3AFE" w:rsidRPr="007A07AD" w:rsidRDefault="009A3AFE" w:rsidP="009A3AFE">
            <w:pPr>
              <w:jc w:val="right"/>
              <w:rPr>
                <w:szCs w:val="24"/>
              </w:rPr>
            </w:pPr>
            <w:r>
              <w:rPr>
                <w:szCs w:val="24"/>
              </w:rPr>
              <w:t>617.1</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r>
              <w:rPr>
                <w:szCs w:val="24"/>
              </w:rPr>
              <w:t>14</w:t>
            </w:r>
          </w:p>
        </w:tc>
      </w:tr>
      <w:tr w:rsidR="009A3AFE" w:rsidRPr="007A07AD" w:rsidTr="009A3AFE">
        <w:tc>
          <w:tcPr>
            <w:tcW w:w="5058" w:type="dxa"/>
          </w:tcPr>
          <w:p w:rsidR="009A3AFE" w:rsidRDefault="009A3AFE" w:rsidP="009A3AFE">
            <w:pPr>
              <w:rPr>
                <w:szCs w:val="24"/>
              </w:rPr>
            </w:pPr>
            <w:r>
              <w:rPr>
                <w:szCs w:val="24"/>
              </w:rPr>
              <w:t>In-House</w:t>
            </w:r>
          </w:p>
        </w:tc>
        <w:tc>
          <w:tcPr>
            <w:tcW w:w="1559" w:type="dxa"/>
            <w:tcBorders>
              <w:bottom w:val="single" w:sz="18" w:space="0" w:color="auto"/>
            </w:tcBorders>
          </w:tcPr>
          <w:p w:rsidR="009A3AFE" w:rsidRPr="007A07AD" w:rsidRDefault="009A3AFE" w:rsidP="009A3AFE">
            <w:pPr>
              <w:jc w:val="right"/>
              <w:rPr>
                <w:szCs w:val="24"/>
              </w:rPr>
            </w:pPr>
            <w:r>
              <w:rPr>
                <w:szCs w:val="24"/>
              </w:rPr>
              <w:t>289.4</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01279" w:rsidRDefault="009A3AFE" w:rsidP="009A3AFE">
            <w:pPr>
              <w:jc w:val="right"/>
              <w:rPr>
                <w:szCs w:val="24"/>
              </w:rPr>
            </w:pPr>
            <w:r w:rsidRPr="00701279">
              <w:rPr>
                <w:szCs w:val="24"/>
              </w:rPr>
              <w:t>7</w:t>
            </w:r>
          </w:p>
        </w:tc>
      </w:tr>
      <w:tr w:rsidR="009A3AFE" w:rsidRPr="007A07AD" w:rsidTr="009A3AFE">
        <w:tc>
          <w:tcPr>
            <w:tcW w:w="5058" w:type="dxa"/>
          </w:tcPr>
          <w:p w:rsidR="009A3AFE" w:rsidRDefault="009A3AFE" w:rsidP="009A3AFE">
            <w:pPr>
              <w:rPr>
                <w:szCs w:val="24"/>
              </w:rPr>
            </w:pPr>
          </w:p>
        </w:tc>
        <w:tc>
          <w:tcPr>
            <w:tcW w:w="1559" w:type="dxa"/>
            <w:tcBorders>
              <w:top w:val="single" w:sz="18" w:space="0" w:color="auto"/>
              <w:bottom w:val="single" w:sz="18" w:space="0" w:color="auto"/>
            </w:tcBorders>
          </w:tcPr>
          <w:p w:rsidR="009A3AFE" w:rsidRPr="007A07AD" w:rsidRDefault="009A3AFE" w:rsidP="009A3AFE">
            <w:pPr>
              <w:jc w:val="right"/>
              <w:rPr>
                <w:szCs w:val="24"/>
              </w:rPr>
            </w:pPr>
            <w:r>
              <w:rPr>
                <w:szCs w:val="24"/>
              </w:rPr>
              <w:t>4,359.9</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bottom w:val="single" w:sz="18" w:space="0" w:color="FFFFFF" w:themeColor="background1"/>
            </w:tcBorders>
          </w:tcPr>
          <w:p w:rsidR="009A3AFE" w:rsidRDefault="009A3AFE" w:rsidP="009A3AFE">
            <w:pPr>
              <w:jc w:val="right"/>
              <w:rPr>
                <w:szCs w:val="24"/>
              </w:rPr>
            </w:pPr>
            <w:r>
              <w:rPr>
                <w:szCs w:val="24"/>
              </w:rPr>
              <w:t>100</w:t>
            </w:r>
          </w:p>
        </w:tc>
      </w:tr>
    </w:tbl>
    <w:p w:rsidR="009A3AFE" w:rsidRDefault="009A3AFE" w:rsidP="009A3AFE">
      <w:pPr>
        <w:spacing w:after="120"/>
        <w:jc w:val="both"/>
        <w:rPr>
          <w:szCs w:val="24"/>
        </w:rPr>
      </w:pPr>
    </w:p>
    <w:p w:rsidR="00F332F8" w:rsidRDefault="00F332F8" w:rsidP="009A3AFE">
      <w:pPr>
        <w:spacing w:after="120"/>
        <w:jc w:val="both"/>
        <w:rPr>
          <w:szCs w:val="24"/>
        </w:rPr>
      </w:pPr>
    </w:p>
    <w:p w:rsidR="00F332F8" w:rsidRDefault="00F332F8" w:rsidP="009A3AFE">
      <w:pPr>
        <w:spacing w:after="120"/>
        <w:jc w:val="both"/>
        <w:rPr>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9A3AFE" w:rsidTr="009A3AFE">
        <w:tc>
          <w:tcPr>
            <w:tcW w:w="5058" w:type="dxa"/>
          </w:tcPr>
          <w:p w:rsidR="009A3AFE" w:rsidRDefault="009A3AFE" w:rsidP="009A3AFE">
            <w:pPr>
              <w:rPr>
                <w:b/>
                <w:szCs w:val="24"/>
              </w:rPr>
            </w:pPr>
            <w:r>
              <w:rPr>
                <w:szCs w:val="24"/>
              </w:rPr>
              <w:br w:type="page"/>
            </w:r>
          </w:p>
        </w:tc>
        <w:tc>
          <w:tcPr>
            <w:tcW w:w="1559" w:type="dxa"/>
          </w:tcPr>
          <w:p w:rsidR="009A3AFE" w:rsidRDefault="009A3AFE" w:rsidP="009A3AFE">
            <w:pPr>
              <w:jc w:val="right"/>
              <w:rPr>
                <w:b/>
                <w:szCs w:val="24"/>
              </w:rPr>
            </w:pPr>
            <w:r>
              <w:rPr>
                <w:b/>
                <w:szCs w:val="24"/>
              </w:rPr>
              <w:t>2011/12</w:t>
            </w:r>
          </w:p>
          <w:p w:rsidR="009A3AFE" w:rsidRDefault="009A3AFE" w:rsidP="009A3AFE">
            <w:pPr>
              <w:jc w:val="right"/>
              <w:rPr>
                <w:b/>
                <w:szCs w:val="24"/>
              </w:rPr>
            </w:pPr>
            <w:r>
              <w:rPr>
                <w:b/>
                <w:szCs w:val="24"/>
              </w:rPr>
              <w:t>£m</w:t>
            </w:r>
          </w:p>
        </w:tc>
        <w:tc>
          <w:tcPr>
            <w:tcW w:w="430" w:type="dxa"/>
            <w:tcBorders>
              <w:right w:val="single" w:sz="4" w:space="0" w:color="FFFFFF" w:themeColor="background1"/>
            </w:tcBorders>
          </w:tcPr>
          <w:p w:rsidR="009A3AFE" w:rsidRDefault="009A3AFE" w:rsidP="009A3AFE">
            <w:pPr>
              <w:jc w:val="right"/>
              <w:rPr>
                <w:b/>
                <w:szCs w:val="24"/>
              </w:rPr>
            </w:pPr>
          </w:p>
          <w:p w:rsidR="009A3AFE" w:rsidRDefault="009A3AFE" w:rsidP="009A3AFE">
            <w:pPr>
              <w:jc w:val="right"/>
              <w:rPr>
                <w:b/>
                <w:szCs w:val="24"/>
              </w:rPr>
            </w:pPr>
          </w:p>
        </w:tc>
        <w:tc>
          <w:tcPr>
            <w:tcW w:w="1696" w:type="dxa"/>
            <w:tcBorders>
              <w:left w:val="single" w:sz="4" w:space="0" w:color="FFFFFF" w:themeColor="background1"/>
            </w:tcBorders>
          </w:tcPr>
          <w:p w:rsidR="009A3AFE" w:rsidRDefault="009A3AFE" w:rsidP="009A3AFE">
            <w:pPr>
              <w:jc w:val="right"/>
              <w:rPr>
                <w:b/>
                <w:szCs w:val="24"/>
              </w:rPr>
            </w:pPr>
            <w:r>
              <w:rPr>
                <w:b/>
                <w:szCs w:val="24"/>
              </w:rPr>
              <w:t>2010/11</w:t>
            </w:r>
          </w:p>
          <w:p w:rsidR="009A3AFE" w:rsidRDefault="009A3AFE" w:rsidP="009A3AFE">
            <w:pPr>
              <w:jc w:val="right"/>
              <w:rPr>
                <w:b/>
                <w:szCs w:val="24"/>
              </w:rPr>
            </w:pPr>
            <w:r>
              <w:rPr>
                <w:b/>
                <w:szCs w:val="24"/>
              </w:rPr>
              <w:t>£m</w:t>
            </w:r>
          </w:p>
          <w:p w:rsidR="009A3AFE" w:rsidRDefault="009A3AFE" w:rsidP="009A3AFE">
            <w:pPr>
              <w:jc w:val="right"/>
              <w:rPr>
                <w:b/>
                <w:szCs w:val="24"/>
              </w:rPr>
            </w:pPr>
          </w:p>
        </w:tc>
      </w:tr>
      <w:tr w:rsidR="009A3AFE" w:rsidRPr="007A07AD" w:rsidTr="009A3AFE">
        <w:tc>
          <w:tcPr>
            <w:tcW w:w="5058" w:type="dxa"/>
          </w:tcPr>
          <w:p w:rsidR="009A3AFE" w:rsidRPr="00BA6F7E" w:rsidRDefault="009A3AFE" w:rsidP="009A3AFE">
            <w:pPr>
              <w:rPr>
                <w:b/>
                <w:szCs w:val="24"/>
              </w:rPr>
            </w:pPr>
            <w:r w:rsidRPr="00BA6F7E">
              <w:rPr>
                <w:b/>
                <w:szCs w:val="24"/>
              </w:rPr>
              <w:t>Fixed Interest Securities</w:t>
            </w:r>
          </w:p>
        </w:tc>
        <w:tc>
          <w:tcPr>
            <w:tcW w:w="1559" w:type="dxa"/>
          </w:tcPr>
          <w:p w:rsidR="009A3AFE" w:rsidRPr="007A07AD" w:rsidRDefault="009A3AFE" w:rsidP="009A3AFE">
            <w:pPr>
              <w:jc w:val="right"/>
              <w:rPr>
                <w:szCs w:val="24"/>
              </w:rPr>
            </w:pP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p>
        </w:tc>
      </w:tr>
      <w:tr w:rsidR="009A3AFE" w:rsidRPr="007A07AD" w:rsidTr="009A3AFE">
        <w:tc>
          <w:tcPr>
            <w:tcW w:w="5058" w:type="dxa"/>
          </w:tcPr>
          <w:p w:rsidR="009A3AFE" w:rsidRDefault="009A3AFE" w:rsidP="009A3AFE">
            <w:pPr>
              <w:rPr>
                <w:szCs w:val="24"/>
              </w:rPr>
            </w:pPr>
            <w:r>
              <w:rPr>
                <w:szCs w:val="24"/>
              </w:rPr>
              <w:t>UK public sector quoted</w:t>
            </w:r>
          </w:p>
        </w:tc>
        <w:tc>
          <w:tcPr>
            <w:tcW w:w="1559" w:type="dxa"/>
          </w:tcPr>
          <w:p w:rsidR="009A3AFE" w:rsidRPr="007A07AD" w:rsidRDefault="009A3AFE" w:rsidP="009A3AFE">
            <w:pPr>
              <w:jc w:val="right"/>
              <w:rPr>
                <w:szCs w:val="24"/>
              </w:rPr>
            </w:pPr>
            <w:r>
              <w:rPr>
                <w:szCs w:val="24"/>
              </w:rPr>
              <w:t>234.3</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r>
              <w:rPr>
                <w:szCs w:val="24"/>
              </w:rPr>
              <w:t>179.9</w:t>
            </w:r>
          </w:p>
        </w:tc>
      </w:tr>
      <w:tr w:rsidR="009A3AFE" w:rsidRPr="007A07AD" w:rsidTr="009A3AFE">
        <w:tc>
          <w:tcPr>
            <w:tcW w:w="5058" w:type="dxa"/>
          </w:tcPr>
          <w:p w:rsidR="009A3AFE" w:rsidRDefault="009A3AFE" w:rsidP="009A3AFE">
            <w:pPr>
              <w:rPr>
                <w:szCs w:val="24"/>
              </w:rPr>
            </w:pPr>
            <w:r>
              <w:rPr>
                <w:szCs w:val="24"/>
              </w:rPr>
              <w:t>UK corporate bonds quoted</w:t>
            </w:r>
          </w:p>
        </w:tc>
        <w:tc>
          <w:tcPr>
            <w:tcW w:w="1559" w:type="dxa"/>
          </w:tcPr>
          <w:p w:rsidR="009A3AFE" w:rsidRDefault="009A3AFE" w:rsidP="009A3AFE">
            <w:pPr>
              <w:jc w:val="right"/>
              <w:rPr>
                <w:szCs w:val="24"/>
              </w:rPr>
            </w:pPr>
            <w:r>
              <w:rPr>
                <w:szCs w:val="24"/>
              </w:rPr>
              <w:t>289.0</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Default="009A3AFE" w:rsidP="009A3AFE">
            <w:pPr>
              <w:jc w:val="right"/>
              <w:rPr>
                <w:szCs w:val="24"/>
              </w:rPr>
            </w:pPr>
            <w:r>
              <w:rPr>
                <w:szCs w:val="24"/>
              </w:rPr>
              <w:t>352.3</w:t>
            </w:r>
          </w:p>
        </w:tc>
      </w:tr>
      <w:tr w:rsidR="009A3AFE" w:rsidRPr="007A07AD" w:rsidTr="009A3AFE">
        <w:tc>
          <w:tcPr>
            <w:tcW w:w="5058" w:type="dxa"/>
          </w:tcPr>
          <w:p w:rsidR="009A3AFE" w:rsidRDefault="009A3AFE" w:rsidP="009A3AFE">
            <w:pPr>
              <w:rPr>
                <w:szCs w:val="24"/>
              </w:rPr>
            </w:pPr>
            <w:r>
              <w:rPr>
                <w:szCs w:val="24"/>
              </w:rPr>
              <w:t>Overseas public sector</w:t>
            </w:r>
          </w:p>
        </w:tc>
        <w:tc>
          <w:tcPr>
            <w:tcW w:w="1559" w:type="dxa"/>
          </w:tcPr>
          <w:p w:rsidR="009A3AFE" w:rsidRDefault="009A3AFE" w:rsidP="009A3AFE">
            <w:pPr>
              <w:jc w:val="right"/>
              <w:rPr>
                <w:szCs w:val="24"/>
              </w:rPr>
            </w:pPr>
            <w:r>
              <w:rPr>
                <w:szCs w:val="24"/>
              </w:rPr>
              <w:t>-</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Default="009A3AFE" w:rsidP="009A3AFE">
            <w:pPr>
              <w:jc w:val="right"/>
              <w:rPr>
                <w:szCs w:val="24"/>
              </w:rPr>
            </w:pPr>
            <w:r>
              <w:rPr>
                <w:szCs w:val="24"/>
              </w:rPr>
              <w:t>-</w:t>
            </w:r>
          </w:p>
        </w:tc>
      </w:tr>
      <w:tr w:rsidR="009A3AFE" w:rsidRPr="007A07AD" w:rsidTr="009A3AFE">
        <w:tc>
          <w:tcPr>
            <w:tcW w:w="5058" w:type="dxa"/>
          </w:tcPr>
          <w:p w:rsidR="009A3AFE" w:rsidRDefault="009A3AFE" w:rsidP="009A3AFE">
            <w:pPr>
              <w:rPr>
                <w:szCs w:val="24"/>
              </w:rPr>
            </w:pPr>
            <w:r>
              <w:rPr>
                <w:szCs w:val="24"/>
              </w:rPr>
              <w:t>Overseas corporate bonds</w:t>
            </w:r>
          </w:p>
        </w:tc>
        <w:tc>
          <w:tcPr>
            <w:tcW w:w="1559" w:type="dxa"/>
            <w:tcBorders>
              <w:bottom w:val="single" w:sz="18" w:space="0" w:color="auto"/>
            </w:tcBorders>
          </w:tcPr>
          <w:p w:rsidR="009A3AFE" w:rsidRDefault="009A3AFE" w:rsidP="009A3AFE">
            <w:pPr>
              <w:jc w:val="right"/>
              <w:rPr>
                <w:szCs w:val="24"/>
              </w:rPr>
            </w:pPr>
            <w:r>
              <w:rPr>
                <w:szCs w:val="24"/>
              </w:rPr>
              <w:t>100.1</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bottom w:val="single" w:sz="18" w:space="0" w:color="auto"/>
            </w:tcBorders>
          </w:tcPr>
          <w:p w:rsidR="009A3AFE" w:rsidRDefault="009A3AFE" w:rsidP="009A3AFE">
            <w:pPr>
              <w:jc w:val="right"/>
              <w:rPr>
                <w:szCs w:val="24"/>
              </w:rPr>
            </w:pPr>
            <w:r>
              <w:rPr>
                <w:szCs w:val="24"/>
              </w:rPr>
              <w:t>26.9</w:t>
            </w:r>
          </w:p>
        </w:tc>
      </w:tr>
      <w:tr w:rsidR="009A3AFE" w:rsidRPr="007A07AD" w:rsidTr="009A3AFE">
        <w:tc>
          <w:tcPr>
            <w:tcW w:w="5058" w:type="dxa"/>
          </w:tcPr>
          <w:p w:rsidR="009A3AFE" w:rsidRDefault="009A3AFE" w:rsidP="009A3AFE">
            <w:pPr>
              <w:rPr>
                <w:szCs w:val="24"/>
              </w:rPr>
            </w:pPr>
          </w:p>
        </w:tc>
        <w:tc>
          <w:tcPr>
            <w:tcW w:w="1559" w:type="dxa"/>
            <w:tcBorders>
              <w:top w:val="single" w:sz="18" w:space="0" w:color="auto"/>
              <w:bottom w:val="single" w:sz="18" w:space="0" w:color="auto"/>
            </w:tcBorders>
          </w:tcPr>
          <w:p w:rsidR="009A3AFE" w:rsidRDefault="009A3AFE" w:rsidP="009A3AFE">
            <w:pPr>
              <w:jc w:val="right"/>
              <w:rPr>
                <w:szCs w:val="24"/>
              </w:rPr>
            </w:pPr>
            <w:r>
              <w:rPr>
                <w:szCs w:val="24"/>
              </w:rPr>
              <w:t>623.4</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top w:val="single" w:sz="18" w:space="0" w:color="auto"/>
              <w:left w:val="single" w:sz="4" w:space="0" w:color="FFFFFF" w:themeColor="background1"/>
              <w:bottom w:val="single" w:sz="18" w:space="0" w:color="auto"/>
            </w:tcBorders>
          </w:tcPr>
          <w:p w:rsidR="009A3AFE" w:rsidRDefault="009A3AFE" w:rsidP="009A3AFE">
            <w:pPr>
              <w:jc w:val="right"/>
              <w:rPr>
                <w:szCs w:val="24"/>
              </w:rPr>
            </w:pPr>
            <w:r>
              <w:rPr>
                <w:szCs w:val="24"/>
              </w:rPr>
              <w:t>559.1</w:t>
            </w:r>
          </w:p>
        </w:tc>
      </w:tr>
    </w:tbl>
    <w:p w:rsidR="009A3AFE" w:rsidRDefault="009A3AFE" w:rsidP="009A3AFE">
      <w:pPr>
        <w:spacing w:after="120"/>
        <w:jc w:val="both"/>
        <w:rPr>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9A3AFE" w:rsidTr="009A3AFE">
        <w:tc>
          <w:tcPr>
            <w:tcW w:w="5058" w:type="dxa"/>
          </w:tcPr>
          <w:p w:rsidR="009A3AFE" w:rsidRDefault="009A3AFE" w:rsidP="009A3AFE">
            <w:pPr>
              <w:rPr>
                <w:b/>
                <w:szCs w:val="24"/>
              </w:rPr>
            </w:pPr>
          </w:p>
        </w:tc>
        <w:tc>
          <w:tcPr>
            <w:tcW w:w="1559" w:type="dxa"/>
          </w:tcPr>
          <w:p w:rsidR="009A3AFE" w:rsidRDefault="009A3AFE" w:rsidP="009A3AFE">
            <w:pPr>
              <w:jc w:val="right"/>
              <w:rPr>
                <w:b/>
                <w:szCs w:val="24"/>
              </w:rPr>
            </w:pPr>
            <w:r>
              <w:rPr>
                <w:b/>
                <w:szCs w:val="24"/>
              </w:rPr>
              <w:t>2011/12</w:t>
            </w:r>
          </w:p>
          <w:p w:rsidR="009A3AFE" w:rsidRDefault="009A3AFE" w:rsidP="009A3AFE">
            <w:pPr>
              <w:jc w:val="right"/>
              <w:rPr>
                <w:b/>
                <w:szCs w:val="24"/>
              </w:rPr>
            </w:pPr>
            <w:r>
              <w:rPr>
                <w:b/>
                <w:szCs w:val="24"/>
              </w:rPr>
              <w:t>£m</w:t>
            </w:r>
          </w:p>
        </w:tc>
        <w:tc>
          <w:tcPr>
            <w:tcW w:w="430" w:type="dxa"/>
            <w:tcBorders>
              <w:right w:val="single" w:sz="4" w:space="0" w:color="FFFFFF" w:themeColor="background1"/>
            </w:tcBorders>
          </w:tcPr>
          <w:p w:rsidR="009A3AFE" w:rsidRDefault="009A3AFE" w:rsidP="009A3AFE">
            <w:pPr>
              <w:jc w:val="right"/>
              <w:rPr>
                <w:b/>
                <w:szCs w:val="24"/>
              </w:rPr>
            </w:pPr>
          </w:p>
          <w:p w:rsidR="009A3AFE" w:rsidRDefault="009A3AFE" w:rsidP="009A3AFE">
            <w:pPr>
              <w:jc w:val="right"/>
              <w:rPr>
                <w:b/>
                <w:szCs w:val="24"/>
              </w:rPr>
            </w:pPr>
          </w:p>
        </w:tc>
        <w:tc>
          <w:tcPr>
            <w:tcW w:w="1696" w:type="dxa"/>
            <w:tcBorders>
              <w:left w:val="single" w:sz="4" w:space="0" w:color="FFFFFF" w:themeColor="background1"/>
            </w:tcBorders>
          </w:tcPr>
          <w:p w:rsidR="009A3AFE" w:rsidRDefault="009A3AFE" w:rsidP="009A3AFE">
            <w:pPr>
              <w:jc w:val="right"/>
              <w:rPr>
                <w:b/>
                <w:szCs w:val="24"/>
              </w:rPr>
            </w:pPr>
            <w:r>
              <w:rPr>
                <w:b/>
                <w:szCs w:val="24"/>
              </w:rPr>
              <w:t>2010/11</w:t>
            </w:r>
          </w:p>
          <w:p w:rsidR="009A3AFE" w:rsidRDefault="009A3AFE" w:rsidP="009A3AFE">
            <w:pPr>
              <w:jc w:val="right"/>
              <w:rPr>
                <w:b/>
                <w:szCs w:val="24"/>
              </w:rPr>
            </w:pPr>
            <w:r>
              <w:rPr>
                <w:b/>
                <w:szCs w:val="24"/>
              </w:rPr>
              <w:t>£m</w:t>
            </w:r>
          </w:p>
          <w:p w:rsidR="009A3AFE" w:rsidRDefault="009A3AFE" w:rsidP="009A3AFE">
            <w:pPr>
              <w:jc w:val="right"/>
              <w:rPr>
                <w:b/>
                <w:szCs w:val="24"/>
              </w:rPr>
            </w:pPr>
          </w:p>
        </w:tc>
      </w:tr>
      <w:tr w:rsidR="009A3AFE" w:rsidRPr="007A07AD" w:rsidTr="009A3AFE">
        <w:tc>
          <w:tcPr>
            <w:tcW w:w="5058" w:type="dxa"/>
          </w:tcPr>
          <w:p w:rsidR="009A3AFE" w:rsidRPr="00E70ECF" w:rsidRDefault="009A3AFE" w:rsidP="009A3AFE">
            <w:pPr>
              <w:rPr>
                <w:b/>
                <w:szCs w:val="24"/>
              </w:rPr>
            </w:pPr>
            <w:r w:rsidRPr="00E70ECF">
              <w:rPr>
                <w:b/>
                <w:szCs w:val="24"/>
              </w:rPr>
              <w:t>Equities</w:t>
            </w:r>
          </w:p>
        </w:tc>
        <w:tc>
          <w:tcPr>
            <w:tcW w:w="1559" w:type="dxa"/>
          </w:tcPr>
          <w:p w:rsidR="009A3AFE" w:rsidRPr="007A07AD" w:rsidRDefault="009A3AFE" w:rsidP="009A3AFE">
            <w:pPr>
              <w:jc w:val="right"/>
              <w:rPr>
                <w:szCs w:val="24"/>
              </w:rPr>
            </w:pP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p>
        </w:tc>
      </w:tr>
      <w:tr w:rsidR="009A3AFE" w:rsidRPr="007A07AD" w:rsidTr="009A3AFE">
        <w:tc>
          <w:tcPr>
            <w:tcW w:w="5058" w:type="dxa"/>
          </w:tcPr>
          <w:p w:rsidR="009A3AFE" w:rsidRDefault="009A3AFE" w:rsidP="009A3AFE">
            <w:pPr>
              <w:rPr>
                <w:szCs w:val="24"/>
              </w:rPr>
            </w:pPr>
            <w:r>
              <w:rPr>
                <w:szCs w:val="24"/>
              </w:rPr>
              <w:t>UK quoted</w:t>
            </w:r>
          </w:p>
        </w:tc>
        <w:tc>
          <w:tcPr>
            <w:tcW w:w="1559" w:type="dxa"/>
          </w:tcPr>
          <w:p w:rsidR="009A3AFE" w:rsidRPr="007A07AD" w:rsidRDefault="009A3AFE" w:rsidP="009A3AFE">
            <w:pPr>
              <w:jc w:val="right"/>
              <w:rPr>
                <w:szCs w:val="24"/>
              </w:rPr>
            </w:pPr>
            <w:r>
              <w:rPr>
                <w:szCs w:val="24"/>
              </w:rPr>
              <w:t>772.8</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r>
              <w:rPr>
                <w:szCs w:val="24"/>
              </w:rPr>
              <w:t>833.1</w:t>
            </w:r>
          </w:p>
        </w:tc>
      </w:tr>
      <w:tr w:rsidR="009A3AFE" w:rsidRPr="007A07AD" w:rsidTr="009A3AFE">
        <w:tc>
          <w:tcPr>
            <w:tcW w:w="5058" w:type="dxa"/>
          </w:tcPr>
          <w:p w:rsidR="009A3AFE" w:rsidRDefault="009A3AFE" w:rsidP="009A3AFE">
            <w:pPr>
              <w:rPr>
                <w:szCs w:val="24"/>
              </w:rPr>
            </w:pPr>
            <w:r>
              <w:rPr>
                <w:szCs w:val="24"/>
              </w:rPr>
              <w:t>Overseas quoted</w:t>
            </w:r>
          </w:p>
        </w:tc>
        <w:tc>
          <w:tcPr>
            <w:tcW w:w="1559" w:type="dxa"/>
            <w:tcBorders>
              <w:bottom w:val="single" w:sz="18" w:space="0" w:color="auto"/>
            </w:tcBorders>
          </w:tcPr>
          <w:p w:rsidR="009A3AFE" w:rsidRPr="007A07AD" w:rsidRDefault="009A3AFE" w:rsidP="009A3AFE">
            <w:pPr>
              <w:jc w:val="right"/>
              <w:rPr>
                <w:szCs w:val="24"/>
              </w:rPr>
            </w:pPr>
            <w:r>
              <w:rPr>
                <w:szCs w:val="24"/>
              </w:rPr>
              <w:t>840.9</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bottom w:val="single" w:sz="18" w:space="0" w:color="auto"/>
            </w:tcBorders>
          </w:tcPr>
          <w:p w:rsidR="009A3AFE" w:rsidRDefault="009A3AFE" w:rsidP="009A3AFE">
            <w:pPr>
              <w:jc w:val="right"/>
              <w:rPr>
                <w:szCs w:val="24"/>
              </w:rPr>
            </w:pPr>
            <w:r>
              <w:rPr>
                <w:szCs w:val="24"/>
              </w:rPr>
              <w:t>902.0</w:t>
            </w:r>
          </w:p>
        </w:tc>
      </w:tr>
      <w:tr w:rsidR="009A3AFE" w:rsidRPr="007A07AD" w:rsidTr="009A3AFE">
        <w:tc>
          <w:tcPr>
            <w:tcW w:w="5058" w:type="dxa"/>
          </w:tcPr>
          <w:p w:rsidR="009A3AFE" w:rsidRDefault="009A3AFE" w:rsidP="009A3AFE">
            <w:pPr>
              <w:rPr>
                <w:szCs w:val="24"/>
              </w:rPr>
            </w:pPr>
          </w:p>
        </w:tc>
        <w:tc>
          <w:tcPr>
            <w:tcW w:w="1559" w:type="dxa"/>
            <w:tcBorders>
              <w:top w:val="single" w:sz="18" w:space="0" w:color="auto"/>
              <w:bottom w:val="single" w:sz="18" w:space="0" w:color="auto"/>
            </w:tcBorders>
          </w:tcPr>
          <w:p w:rsidR="009A3AFE" w:rsidRPr="007A07AD" w:rsidRDefault="009A3AFE" w:rsidP="009A3AFE">
            <w:pPr>
              <w:jc w:val="right"/>
              <w:rPr>
                <w:szCs w:val="24"/>
              </w:rPr>
            </w:pPr>
            <w:r>
              <w:rPr>
                <w:szCs w:val="24"/>
              </w:rPr>
              <w:t>1,613.7</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top w:val="single" w:sz="18" w:space="0" w:color="auto"/>
              <w:left w:val="single" w:sz="4" w:space="0" w:color="FFFFFF" w:themeColor="background1"/>
              <w:bottom w:val="single" w:sz="18" w:space="0" w:color="auto"/>
            </w:tcBorders>
          </w:tcPr>
          <w:p w:rsidR="009A3AFE" w:rsidRDefault="009A3AFE" w:rsidP="009A3AFE">
            <w:pPr>
              <w:jc w:val="right"/>
              <w:rPr>
                <w:szCs w:val="24"/>
              </w:rPr>
            </w:pPr>
            <w:r>
              <w:rPr>
                <w:szCs w:val="24"/>
              </w:rPr>
              <w:t>1,735.1</w:t>
            </w:r>
          </w:p>
        </w:tc>
      </w:tr>
    </w:tbl>
    <w:p w:rsidR="009A3AFE" w:rsidRDefault="009A3AFE" w:rsidP="009A3AFE">
      <w:pPr>
        <w:spacing w:after="120"/>
        <w:jc w:val="both"/>
        <w:rPr>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9A3AFE" w:rsidTr="009A3AFE">
        <w:tc>
          <w:tcPr>
            <w:tcW w:w="5058" w:type="dxa"/>
          </w:tcPr>
          <w:p w:rsidR="009A3AFE" w:rsidRDefault="009A3AFE" w:rsidP="009A3AFE">
            <w:pPr>
              <w:rPr>
                <w:b/>
                <w:szCs w:val="24"/>
              </w:rPr>
            </w:pPr>
          </w:p>
        </w:tc>
        <w:tc>
          <w:tcPr>
            <w:tcW w:w="1559" w:type="dxa"/>
          </w:tcPr>
          <w:p w:rsidR="009A3AFE" w:rsidRDefault="009A3AFE" w:rsidP="009A3AFE">
            <w:pPr>
              <w:jc w:val="right"/>
              <w:rPr>
                <w:b/>
                <w:szCs w:val="24"/>
              </w:rPr>
            </w:pPr>
            <w:r>
              <w:rPr>
                <w:b/>
                <w:szCs w:val="24"/>
              </w:rPr>
              <w:t>2011/12</w:t>
            </w:r>
          </w:p>
          <w:p w:rsidR="009A3AFE" w:rsidRDefault="009A3AFE" w:rsidP="009A3AFE">
            <w:pPr>
              <w:jc w:val="right"/>
              <w:rPr>
                <w:b/>
                <w:szCs w:val="24"/>
              </w:rPr>
            </w:pPr>
            <w:r>
              <w:rPr>
                <w:b/>
                <w:szCs w:val="24"/>
              </w:rPr>
              <w:t>£m</w:t>
            </w:r>
          </w:p>
        </w:tc>
        <w:tc>
          <w:tcPr>
            <w:tcW w:w="430" w:type="dxa"/>
            <w:tcBorders>
              <w:right w:val="single" w:sz="4" w:space="0" w:color="FFFFFF" w:themeColor="background1"/>
            </w:tcBorders>
          </w:tcPr>
          <w:p w:rsidR="009A3AFE" w:rsidRDefault="009A3AFE" w:rsidP="009A3AFE">
            <w:pPr>
              <w:jc w:val="right"/>
              <w:rPr>
                <w:b/>
                <w:szCs w:val="24"/>
              </w:rPr>
            </w:pPr>
          </w:p>
          <w:p w:rsidR="009A3AFE" w:rsidRDefault="009A3AFE" w:rsidP="009A3AFE">
            <w:pPr>
              <w:jc w:val="right"/>
              <w:rPr>
                <w:b/>
                <w:szCs w:val="24"/>
              </w:rPr>
            </w:pPr>
          </w:p>
        </w:tc>
        <w:tc>
          <w:tcPr>
            <w:tcW w:w="1696" w:type="dxa"/>
            <w:tcBorders>
              <w:left w:val="single" w:sz="4" w:space="0" w:color="FFFFFF" w:themeColor="background1"/>
            </w:tcBorders>
          </w:tcPr>
          <w:p w:rsidR="009A3AFE" w:rsidRDefault="009A3AFE" w:rsidP="009A3AFE">
            <w:pPr>
              <w:jc w:val="right"/>
              <w:rPr>
                <w:b/>
                <w:szCs w:val="24"/>
              </w:rPr>
            </w:pPr>
            <w:r>
              <w:rPr>
                <w:b/>
                <w:szCs w:val="24"/>
              </w:rPr>
              <w:t>2010/11</w:t>
            </w:r>
          </w:p>
          <w:p w:rsidR="009A3AFE" w:rsidRDefault="009A3AFE" w:rsidP="009A3AFE">
            <w:pPr>
              <w:jc w:val="right"/>
              <w:rPr>
                <w:b/>
                <w:szCs w:val="24"/>
              </w:rPr>
            </w:pPr>
            <w:r>
              <w:rPr>
                <w:b/>
                <w:szCs w:val="24"/>
              </w:rPr>
              <w:t>£m</w:t>
            </w:r>
          </w:p>
          <w:p w:rsidR="009A3AFE" w:rsidRDefault="009A3AFE" w:rsidP="009A3AFE">
            <w:pPr>
              <w:jc w:val="right"/>
              <w:rPr>
                <w:b/>
                <w:szCs w:val="24"/>
              </w:rPr>
            </w:pPr>
          </w:p>
        </w:tc>
      </w:tr>
      <w:tr w:rsidR="009A3AFE" w:rsidRPr="007A07AD" w:rsidTr="009A3AFE">
        <w:tc>
          <w:tcPr>
            <w:tcW w:w="5058" w:type="dxa"/>
          </w:tcPr>
          <w:p w:rsidR="009A3AFE" w:rsidRPr="00E70ECF" w:rsidRDefault="009A3AFE" w:rsidP="009A3AFE">
            <w:pPr>
              <w:rPr>
                <w:b/>
                <w:szCs w:val="24"/>
              </w:rPr>
            </w:pPr>
            <w:r w:rsidRPr="00E70ECF">
              <w:rPr>
                <w:b/>
                <w:szCs w:val="24"/>
              </w:rPr>
              <w:lastRenderedPageBreak/>
              <w:t>Index Linked Securities</w:t>
            </w:r>
          </w:p>
        </w:tc>
        <w:tc>
          <w:tcPr>
            <w:tcW w:w="1559" w:type="dxa"/>
          </w:tcPr>
          <w:p w:rsidR="009A3AFE" w:rsidRPr="007A07AD" w:rsidRDefault="009A3AFE" w:rsidP="009A3AFE">
            <w:pPr>
              <w:jc w:val="right"/>
              <w:rPr>
                <w:szCs w:val="24"/>
              </w:rPr>
            </w:pP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p>
        </w:tc>
      </w:tr>
      <w:tr w:rsidR="009A3AFE" w:rsidRPr="007A07AD" w:rsidTr="009A3AFE">
        <w:tc>
          <w:tcPr>
            <w:tcW w:w="5058" w:type="dxa"/>
          </w:tcPr>
          <w:p w:rsidR="009A3AFE" w:rsidRDefault="009A3AFE" w:rsidP="009A3AFE">
            <w:pPr>
              <w:rPr>
                <w:szCs w:val="24"/>
              </w:rPr>
            </w:pPr>
            <w:r>
              <w:rPr>
                <w:szCs w:val="24"/>
              </w:rPr>
              <w:t>UK quoted</w:t>
            </w:r>
          </w:p>
        </w:tc>
        <w:tc>
          <w:tcPr>
            <w:tcW w:w="1559" w:type="dxa"/>
            <w:tcBorders>
              <w:bottom w:val="single" w:sz="18" w:space="0" w:color="auto"/>
            </w:tcBorders>
          </w:tcPr>
          <w:p w:rsidR="009A3AFE" w:rsidRPr="007A07AD" w:rsidRDefault="009A3AFE" w:rsidP="009A3AFE">
            <w:pPr>
              <w:jc w:val="right"/>
              <w:rPr>
                <w:szCs w:val="24"/>
              </w:rPr>
            </w:pPr>
            <w:r>
              <w:rPr>
                <w:szCs w:val="24"/>
              </w:rPr>
              <w:t>124.6</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bottom w:val="single" w:sz="18" w:space="0" w:color="auto"/>
            </w:tcBorders>
          </w:tcPr>
          <w:p w:rsidR="009A3AFE" w:rsidRPr="007A07AD" w:rsidRDefault="009A3AFE" w:rsidP="009A3AFE">
            <w:pPr>
              <w:jc w:val="right"/>
              <w:rPr>
                <w:szCs w:val="24"/>
              </w:rPr>
            </w:pPr>
            <w:r>
              <w:rPr>
                <w:szCs w:val="24"/>
              </w:rPr>
              <w:t>141.0</w:t>
            </w:r>
          </w:p>
        </w:tc>
      </w:tr>
      <w:tr w:rsidR="009A3AFE" w:rsidRPr="007A07AD" w:rsidTr="009A3AFE">
        <w:tc>
          <w:tcPr>
            <w:tcW w:w="5058" w:type="dxa"/>
          </w:tcPr>
          <w:p w:rsidR="009A3AFE" w:rsidRDefault="009A3AFE" w:rsidP="009A3AFE">
            <w:pPr>
              <w:rPr>
                <w:szCs w:val="24"/>
              </w:rPr>
            </w:pPr>
          </w:p>
        </w:tc>
        <w:tc>
          <w:tcPr>
            <w:tcW w:w="1559" w:type="dxa"/>
            <w:tcBorders>
              <w:top w:val="single" w:sz="18" w:space="0" w:color="auto"/>
              <w:bottom w:val="single" w:sz="18" w:space="0" w:color="auto"/>
            </w:tcBorders>
          </w:tcPr>
          <w:p w:rsidR="009A3AFE" w:rsidRPr="007A07AD" w:rsidRDefault="009A3AFE" w:rsidP="009A3AFE">
            <w:pPr>
              <w:jc w:val="right"/>
              <w:rPr>
                <w:szCs w:val="24"/>
              </w:rPr>
            </w:pPr>
            <w:r>
              <w:rPr>
                <w:szCs w:val="24"/>
              </w:rPr>
              <w:t>124.6</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top w:val="single" w:sz="18" w:space="0" w:color="auto"/>
              <w:left w:val="single" w:sz="4" w:space="0" w:color="FFFFFF" w:themeColor="background1"/>
              <w:bottom w:val="single" w:sz="18" w:space="0" w:color="auto"/>
            </w:tcBorders>
          </w:tcPr>
          <w:p w:rsidR="009A3AFE" w:rsidRDefault="009A3AFE" w:rsidP="009A3AFE">
            <w:pPr>
              <w:jc w:val="right"/>
              <w:rPr>
                <w:szCs w:val="24"/>
              </w:rPr>
            </w:pPr>
            <w:r>
              <w:rPr>
                <w:szCs w:val="24"/>
              </w:rPr>
              <w:t>141.0</w:t>
            </w:r>
          </w:p>
        </w:tc>
      </w:tr>
    </w:tbl>
    <w:p w:rsidR="009A3AFE" w:rsidRDefault="009A3AFE" w:rsidP="009A3AFE">
      <w:pPr>
        <w:spacing w:after="120"/>
        <w:jc w:val="both"/>
        <w:rPr>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9A3AFE" w:rsidTr="009A3AFE">
        <w:tc>
          <w:tcPr>
            <w:tcW w:w="5058" w:type="dxa"/>
          </w:tcPr>
          <w:p w:rsidR="009A3AFE" w:rsidRDefault="009A3AFE" w:rsidP="009A3AFE">
            <w:pPr>
              <w:rPr>
                <w:b/>
                <w:szCs w:val="24"/>
              </w:rPr>
            </w:pPr>
          </w:p>
        </w:tc>
        <w:tc>
          <w:tcPr>
            <w:tcW w:w="1559" w:type="dxa"/>
          </w:tcPr>
          <w:p w:rsidR="009A3AFE" w:rsidRDefault="009A3AFE" w:rsidP="009A3AFE">
            <w:pPr>
              <w:jc w:val="right"/>
              <w:rPr>
                <w:b/>
                <w:szCs w:val="24"/>
              </w:rPr>
            </w:pPr>
            <w:r>
              <w:rPr>
                <w:b/>
                <w:szCs w:val="24"/>
              </w:rPr>
              <w:t>2011/12</w:t>
            </w:r>
          </w:p>
          <w:p w:rsidR="009A3AFE" w:rsidRDefault="009A3AFE" w:rsidP="009A3AFE">
            <w:pPr>
              <w:jc w:val="right"/>
              <w:rPr>
                <w:b/>
                <w:szCs w:val="24"/>
              </w:rPr>
            </w:pPr>
            <w:r>
              <w:rPr>
                <w:b/>
                <w:szCs w:val="24"/>
              </w:rPr>
              <w:t>£m</w:t>
            </w:r>
          </w:p>
        </w:tc>
        <w:tc>
          <w:tcPr>
            <w:tcW w:w="430" w:type="dxa"/>
            <w:tcBorders>
              <w:right w:val="single" w:sz="4" w:space="0" w:color="FFFFFF" w:themeColor="background1"/>
            </w:tcBorders>
          </w:tcPr>
          <w:p w:rsidR="009A3AFE" w:rsidRDefault="009A3AFE" w:rsidP="009A3AFE">
            <w:pPr>
              <w:jc w:val="right"/>
              <w:rPr>
                <w:b/>
                <w:szCs w:val="24"/>
              </w:rPr>
            </w:pPr>
          </w:p>
          <w:p w:rsidR="009A3AFE" w:rsidRDefault="009A3AFE" w:rsidP="009A3AFE">
            <w:pPr>
              <w:jc w:val="right"/>
              <w:rPr>
                <w:b/>
                <w:szCs w:val="24"/>
              </w:rPr>
            </w:pPr>
          </w:p>
        </w:tc>
        <w:tc>
          <w:tcPr>
            <w:tcW w:w="1696" w:type="dxa"/>
            <w:tcBorders>
              <w:left w:val="single" w:sz="4" w:space="0" w:color="FFFFFF" w:themeColor="background1"/>
            </w:tcBorders>
          </w:tcPr>
          <w:p w:rsidR="009A3AFE" w:rsidRDefault="009A3AFE" w:rsidP="009A3AFE">
            <w:pPr>
              <w:jc w:val="right"/>
              <w:rPr>
                <w:b/>
                <w:szCs w:val="24"/>
              </w:rPr>
            </w:pPr>
            <w:r>
              <w:rPr>
                <w:b/>
                <w:szCs w:val="24"/>
              </w:rPr>
              <w:t>2010/11</w:t>
            </w:r>
          </w:p>
          <w:p w:rsidR="009A3AFE" w:rsidRDefault="009A3AFE" w:rsidP="009A3AFE">
            <w:pPr>
              <w:jc w:val="right"/>
              <w:rPr>
                <w:b/>
                <w:szCs w:val="24"/>
              </w:rPr>
            </w:pPr>
            <w:r>
              <w:rPr>
                <w:b/>
                <w:szCs w:val="24"/>
              </w:rPr>
              <w:t>£m</w:t>
            </w:r>
          </w:p>
          <w:p w:rsidR="009A3AFE" w:rsidRDefault="009A3AFE" w:rsidP="009A3AFE">
            <w:pPr>
              <w:jc w:val="right"/>
              <w:rPr>
                <w:b/>
                <w:szCs w:val="24"/>
              </w:rPr>
            </w:pPr>
          </w:p>
        </w:tc>
      </w:tr>
      <w:tr w:rsidR="009A3AFE" w:rsidRPr="007A07AD" w:rsidTr="009A3AFE">
        <w:tc>
          <w:tcPr>
            <w:tcW w:w="5058" w:type="dxa"/>
          </w:tcPr>
          <w:p w:rsidR="009A3AFE" w:rsidRPr="00E70ECF" w:rsidRDefault="009A3AFE" w:rsidP="009A3AFE">
            <w:pPr>
              <w:rPr>
                <w:b/>
                <w:szCs w:val="24"/>
              </w:rPr>
            </w:pPr>
            <w:r w:rsidRPr="00E70ECF">
              <w:rPr>
                <w:b/>
                <w:szCs w:val="24"/>
              </w:rPr>
              <w:t>Pooled Investment Vehicles</w:t>
            </w:r>
          </w:p>
        </w:tc>
        <w:tc>
          <w:tcPr>
            <w:tcW w:w="1559" w:type="dxa"/>
          </w:tcPr>
          <w:p w:rsidR="009A3AFE" w:rsidRPr="007A07AD" w:rsidRDefault="009A3AFE" w:rsidP="009A3AFE">
            <w:pPr>
              <w:jc w:val="right"/>
              <w:rPr>
                <w:szCs w:val="24"/>
              </w:rPr>
            </w:pP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p>
        </w:tc>
      </w:tr>
      <w:tr w:rsidR="009A3AFE" w:rsidRPr="007A07AD" w:rsidTr="009A3AFE">
        <w:tc>
          <w:tcPr>
            <w:tcW w:w="5058" w:type="dxa"/>
          </w:tcPr>
          <w:p w:rsidR="009A3AFE" w:rsidRDefault="009A3AFE" w:rsidP="009A3AFE">
            <w:pPr>
              <w:rPr>
                <w:szCs w:val="24"/>
              </w:rPr>
            </w:pPr>
            <w:r>
              <w:rPr>
                <w:szCs w:val="24"/>
              </w:rPr>
              <w:t>Managed/Unitised funds – UK Equities</w:t>
            </w:r>
          </w:p>
        </w:tc>
        <w:tc>
          <w:tcPr>
            <w:tcW w:w="1559" w:type="dxa"/>
          </w:tcPr>
          <w:p w:rsidR="009A3AFE" w:rsidRPr="007A07AD" w:rsidRDefault="009A3AFE" w:rsidP="009A3AFE">
            <w:pPr>
              <w:jc w:val="right"/>
              <w:rPr>
                <w:szCs w:val="24"/>
              </w:rPr>
            </w:pPr>
            <w:r>
              <w:rPr>
                <w:szCs w:val="24"/>
              </w:rPr>
              <w:t>537.0</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r>
              <w:rPr>
                <w:szCs w:val="24"/>
              </w:rPr>
              <w:t>448.9</w:t>
            </w:r>
          </w:p>
        </w:tc>
      </w:tr>
      <w:tr w:rsidR="009A3AFE" w:rsidRPr="007A07AD" w:rsidTr="009A3AFE">
        <w:tc>
          <w:tcPr>
            <w:tcW w:w="5058" w:type="dxa"/>
          </w:tcPr>
          <w:p w:rsidR="009A3AFE" w:rsidRDefault="009A3AFE" w:rsidP="009A3AFE">
            <w:pPr>
              <w:rPr>
                <w:szCs w:val="24"/>
              </w:rPr>
            </w:pPr>
            <w:r>
              <w:rPr>
                <w:szCs w:val="24"/>
              </w:rPr>
              <w:t>Overseas Equities</w:t>
            </w:r>
          </w:p>
        </w:tc>
        <w:tc>
          <w:tcPr>
            <w:tcW w:w="1559" w:type="dxa"/>
          </w:tcPr>
          <w:p w:rsidR="009A3AFE" w:rsidRPr="007A07AD" w:rsidRDefault="009A3AFE" w:rsidP="009A3AFE">
            <w:pPr>
              <w:jc w:val="right"/>
              <w:rPr>
                <w:szCs w:val="24"/>
              </w:rPr>
            </w:pPr>
            <w:r>
              <w:rPr>
                <w:szCs w:val="24"/>
              </w:rPr>
              <w:t>400.3</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Default="009A3AFE" w:rsidP="009A3AFE">
            <w:pPr>
              <w:jc w:val="right"/>
              <w:rPr>
                <w:szCs w:val="24"/>
              </w:rPr>
            </w:pPr>
            <w:r>
              <w:rPr>
                <w:szCs w:val="24"/>
              </w:rPr>
              <w:t>423.2</w:t>
            </w:r>
          </w:p>
        </w:tc>
      </w:tr>
      <w:tr w:rsidR="009A3AFE" w:rsidRPr="007A07AD" w:rsidTr="009A3AFE">
        <w:tc>
          <w:tcPr>
            <w:tcW w:w="5058" w:type="dxa"/>
          </w:tcPr>
          <w:p w:rsidR="009A3AFE" w:rsidRPr="00233226" w:rsidRDefault="009A3AFE" w:rsidP="009A3AFE">
            <w:pPr>
              <w:rPr>
                <w:szCs w:val="24"/>
              </w:rPr>
            </w:pPr>
            <w:r w:rsidRPr="00233226">
              <w:rPr>
                <w:szCs w:val="24"/>
              </w:rPr>
              <w:t>Public Sector Bonds</w:t>
            </w:r>
          </w:p>
        </w:tc>
        <w:tc>
          <w:tcPr>
            <w:tcW w:w="1559" w:type="dxa"/>
          </w:tcPr>
          <w:p w:rsidR="009A3AFE" w:rsidRPr="00233226" w:rsidRDefault="009A3AFE" w:rsidP="009A3AFE">
            <w:pPr>
              <w:jc w:val="right"/>
              <w:rPr>
                <w:szCs w:val="24"/>
              </w:rPr>
            </w:pPr>
            <w:r>
              <w:rPr>
                <w:szCs w:val="24"/>
              </w:rPr>
              <w:t>-</w:t>
            </w:r>
          </w:p>
        </w:tc>
        <w:tc>
          <w:tcPr>
            <w:tcW w:w="430" w:type="dxa"/>
            <w:tcBorders>
              <w:right w:val="single" w:sz="4" w:space="0" w:color="FFFFFF" w:themeColor="background1"/>
            </w:tcBorders>
          </w:tcPr>
          <w:p w:rsidR="009A3AFE" w:rsidRPr="00233226" w:rsidRDefault="009A3AFE" w:rsidP="009A3AFE">
            <w:pPr>
              <w:jc w:val="right"/>
              <w:rPr>
                <w:szCs w:val="24"/>
              </w:rPr>
            </w:pPr>
          </w:p>
        </w:tc>
        <w:tc>
          <w:tcPr>
            <w:tcW w:w="1696" w:type="dxa"/>
            <w:tcBorders>
              <w:left w:val="single" w:sz="4" w:space="0" w:color="FFFFFF" w:themeColor="background1"/>
            </w:tcBorders>
          </w:tcPr>
          <w:p w:rsidR="009A3AFE" w:rsidRPr="00233226" w:rsidRDefault="009A3AFE" w:rsidP="009A3AFE">
            <w:pPr>
              <w:jc w:val="right"/>
              <w:rPr>
                <w:szCs w:val="24"/>
              </w:rPr>
            </w:pPr>
            <w:r>
              <w:rPr>
                <w:szCs w:val="24"/>
              </w:rPr>
              <w:t>-</w:t>
            </w:r>
          </w:p>
        </w:tc>
      </w:tr>
      <w:tr w:rsidR="009A3AFE" w:rsidRPr="007A07AD" w:rsidTr="009A3AFE">
        <w:tc>
          <w:tcPr>
            <w:tcW w:w="5058" w:type="dxa"/>
          </w:tcPr>
          <w:p w:rsidR="009A3AFE" w:rsidRPr="00233226" w:rsidRDefault="009A3AFE" w:rsidP="009A3AFE">
            <w:pPr>
              <w:rPr>
                <w:szCs w:val="24"/>
              </w:rPr>
            </w:pPr>
            <w:r w:rsidRPr="00233226">
              <w:rPr>
                <w:szCs w:val="24"/>
              </w:rPr>
              <w:t>Corporate Bonds</w:t>
            </w:r>
          </w:p>
        </w:tc>
        <w:tc>
          <w:tcPr>
            <w:tcW w:w="1559" w:type="dxa"/>
          </w:tcPr>
          <w:p w:rsidR="009A3AFE" w:rsidRPr="00233226" w:rsidRDefault="009A3AFE" w:rsidP="009A3AFE">
            <w:pPr>
              <w:jc w:val="right"/>
              <w:rPr>
                <w:szCs w:val="24"/>
              </w:rPr>
            </w:pPr>
            <w:r>
              <w:rPr>
                <w:szCs w:val="24"/>
              </w:rPr>
              <w:t>-</w:t>
            </w:r>
          </w:p>
        </w:tc>
        <w:tc>
          <w:tcPr>
            <w:tcW w:w="430" w:type="dxa"/>
            <w:tcBorders>
              <w:right w:val="single" w:sz="4" w:space="0" w:color="FFFFFF" w:themeColor="background1"/>
            </w:tcBorders>
          </w:tcPr>
          <w:p w:rsidR="009A3AFE" w:rsidRPr="00233226" w:rsidRDefault="009A3AFE" w:rsidP="009A3AFE">
            <w:pPr>
              <w:jc w:val="right"/>
              <w:rPr>
                <w:szCs w:val="24"/>
              </w:rPr>
            </w:pPr>
          </w:p>
        </w:tc>
        <w:tc>
          <w:tcPr>
            <w:tcW w:w="1696" w:type="dxa"/>
            <w:tcBorders>
              <w:left w:val="single" w:sz="4" w:space="0" w:color="FFFFFF" w:themeColor="background1"/>
            </w:tcBorders>
          </w:tcPr>
          <w:p w:rsidR="009A3AFE" w:rsidRPr="00233226" w:rsidRDefault="009A3AFE" w:rsidP="009A3AFE">
            <w:pPr>
              <w:jc w:val="right"/>
              <w:rPr>
                <w:szCs w:val="24"/>
              </w:rPr>
            </w:pPr>
            <w:r w:rsidRPr="00233226">
              <w:rPr>
                <w:szCs w:val="24"/>
              </w:rPr>
              <w:t>141.9</w:t>
            </w:r>
          </w:p>
        </w:tc>
      </w:tr>
      <w:tr w:rsidR="009A3AFE" w:rsidRPr="007A07AD" w:rsidTr="009A3AFE">
        <w:tc>
          <w:tcPr>
            <w:tcW w:w="5058" w:type="dxa"/>
          </w:tcPr>
          <w:p w:rsidR="009A3AFE" w:rsidRPr="00233226" w:rsidRDefault="009A3AFE" w:rsidP="009A3AFE">
            <w:pPr>
              <w:rPr>
                <w:szCs w:val="24"/>
              </w:rPr>
            </w:pPr>
            <w:r w:rsidRPr="00233226">
              <w:rPr>
                <w:szCs w:val="24"/>
              </w:rPr>
              <w:t>Index Linked</w:t>
            </w:r>
          </w:p>
        </w:tc>
        <w:tc>
          <w:tcPr>
            <w:tcW w:w="1559" w:type="dxa"/>
          </w:tcPr>
          <w:p w:rsidR="009A3AFE" w:rsidRPr="00233226" w:rsidRDefault="009A3AFE" w:rsidP="009A3AFE">
            <w:pPr>
              <w:jc w:val="right"/>
              <w:rPr>
                <w:szCs w:val="24"/>
              </w:rPr>
            </w:pPr>
            <w:r>
              <w:rPr>
                <w:szCs w:val="24"/>
              </w:rPr>
              <w:t>-</w:t>
            </w:r>
          </w:p>
        </w:tc>
        <w:tc>
          <w:tcPr>
            <w:tcW w:w="430" w:type="dxa"/>
            <w:tcBorders>
              <w:right w:val="single" w:sz="4" w:space="0" w:color="FFFFFF" w:themeColor="background1"/>
            </w:tcBorders>
          </w:tcPr>
          <w:p w:rsidR="009A3AFE" w:rsidRPr="00233226" w:rsidRDefault="009A3AFE" w:rsidP="009A3AFE">
            <w:pPr>
              <w:jc w:val="right"/>
              <w:rPr>
                <w:szCs w:val="24"/>
              </w:rPr>
            </w:pPr>
          </w:p>
        </w:tc>
        <w:tc>
          <w:tcPr>
            <w:tcW w:w="1696" w:type="dxa"/>
            <w:tcBorders>
              <w:left w:val="single" w:sz="4" w:space="0" w:color="FFFFFF" w:themeColor="background1"/>
            </w:tcBorders>
          </w:tcPr>
          <w:p w:rsidR="009A3AFE" w:rsidRPr="00233226" w:rsidRDefault="009A3AFE" w:rsidP="009A3AFE">
            <w:pPr>
              <w:jc w:val="right"/>
              <w:rPr>
                <w:szCs w:val="24"/>
              </w:rPr>
            </w:pPr>
            <w:r w:rsidRPr="00233226">
              <w:rPr>
                <w:szCs w:val="24"/>
              </w:rPr>
              <w:t>32.2</w:t>
            </w:r>
          </w:p>
        </w:tc>
      </w:tr>
      <w:tr w:rsidR="009A3AFE" w:rsidRPr="007A07AD" w:rsidTr="009A3AFE">
        <w:tc>
          <w:tcPr>
            <w:tcW w:w="5058" w:type="dxa"/>
          </w:tcPr>
          <w:p w:rsidR="009A3AFE" w:rsidRDefault="009A3AFE" w:rsidP="009A3AFE">
            <w:pPr>
              <w:rPr>
                <w:szCs w:val="24"/>
              </w:rPr>
            </w:pPr>
            <w:r>
              <w:rPr>
                <w:szCs w:val="24"/>
              </w:rPr>
              <w:t>Unit trusts – UK Equities</w:t>
            </w:r>
          </w:p>
        </w:tc>
        <w:tc>
          <w:tcPr>
            <w:tcW w:w="1559" w:type="dxa"/>
          </w:tcPr>
          <w:p w:rsidR="009A3AFE" w:rsidRPr="007A07AD" w:rsidRDefault="009A3AFE" w:rsidP="009A3AFE">
            <w:pPr>
              <w:jc w:val="right"/>
              <w:rPr>
                <w:szCs w:val="24"/>
              </w:rPr>
            </w:pPr>
            <w:r>
              <w:rPr>
                <w:szCs w:val="24"/>
              </w:rPr>
              <w:t>-</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Default="009A3AFE" w:rsidP="009A3AFE">
            <w:pPr>
              <w:jc w:val="right"/>
              <w:rPr>
                <w:szCs w:val="24"/>
              </w:rPr>
            </w:pPr>
            <w:r>
              <w:rPr>
                <w:szCs w:val="24"/>
              </w:rPr>
              <w:t>22.3</w:t>
            </w:r>
          </w:p>
        </w:tc>
      </w:tr>
      <w:tr w:rsidR="009A3AFE" w:rsidRPr="007A07AD" w:rsidTr="009A3AFE">
        <w:tc>
          <w:tcPr>
            <w:tcW w:w="5058" w:type="dxa"/>
          </w:tcPr>
          <w:p w:rsidR="009A3AFE" w:rsidRDefault="009A3AFE" w:rsidP="009A3AFE">
            <w:pPr>
              <w:rPr>
                <w:szCs w:val="24"/>
              </w:rPr>
            </w:pPr>
            <w:r>
              <w:rPr>
                <w:szCs w:val="24"/>
              </w:rPr>
              <w:t>Overseas Equities</w:t>
            </w:r>
          </w:p>
        </w:tc>
        <w:tc>
          <w:tcPr>
            <w:tcW w:w="1559" w:type="dxa"/>
          </w:tcPr>
          <w:p w:rsidR="009A3AFE" w:rsidRDefault="009A3AFE" w:rsidP="009A3AFE">
            <w:pPr>
              <w:jc w:val="right"/>
              <w:rPr>
                <w:szCs w:val="24"/>
              </w:rPr>
            </w:pPr>
            <w:r>
              <w:rPr>
                <w:szCs w:val="24"/>
              </w:rPr>
              <w:t>-</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Default="009A3AFE" w:rsidP="009A3AFE">
            <w:pPr>
              <w:jc w:val="right"/>
              <w:rPr>
                <w:szCs w:val="24"/>
              </w:rPr>
            </w:pPr>
            <w:r>
              <w:rPr>
                <w:szCs w:val="24"/>
              </w:rPr>
              <w:t>4.8</w:t>
            </w:r>
          </w:p>
        </w:tc>
      </w:tr>
      <w:tr w:rsidR="009A3AFE" w:rsidRPr="007A07AD" w:rsidTr="009A3AFE">
        <w:tc>
          <w:tcPr>
            <w:tcW w:w="5058" w:type="dxa"/>
          </w:tcPr>
          <w:p w:rsidR="009A3AFE" w:rsidRDefault="009A3AFE" w:rsidP="009A3AFE">
            <w:pPr>
              <w:rPr>
                <w:szCs w:val="24"/>
              </w:rPr>
            </w:pPr>
            <w:r>
              <w:rPr>
                <w:szCs w:val="24"/>
              </w:rPr>
              <w:t xml:space="preserve">UK Fixed Income Funds </w:t>
            </w:r>
          </w:p>
        </w:tc>
        <w:tc>
          <w:tcPr>
            <w:tcW w:w="1559" w:type="dxa"/>
          </w:tcPr>
          <w:p w:rsidR="009A3AFE" w:rsidRDefault="009A3AFE" w:rsidP="009A3AFE">
            <w:pPr>
              <w:jc w:val="right"/>
              <w:rPr>
                <w:szCs w:val="24"/>
              </w:rPr>
            </w:pPr>
            <w:r>
              <w:rPr>
                <w:szCs w:val="24"/>
              </w:rPr>
              <w:t>192.2</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Default="009A3AFE" w:rsidP="009A3AFE">
            <w:pPr>
              <w:jc w:val="right"/>
              <w:rPr>
                <w:szCs w:val="24"/>
              </w:rPr>
            </w:pPr>
            <w:r>
              <w:rPr>
                <w:szCs w:val="24"/>
              </w:rPr>
              <w:t>-</w:t>
            </w:r>
          </w:p>
        </w:tc>
      </w:tr>
      <w:tr w:rsidR="009A3AFE" w:rsidRPr="007A07AD" w:rsidTr="009A3AFE">
        <w:tc>
          <w:tcPr>
            <w:tcW w:w="5058" w:type="dxa"/>
          </w:tcPr>
          <w:p w:rsidR="009A3AFE" w:rsidRPr="00233226" w:rsidRDefault="009A3AFE" w:rsidP="009A3AFE">
            <w:r>
              <w:t>Overseas Fixed Income Funds</w:t>
            </w:r>
          </w:p>
        </w:tc>
        <w:tc>
          <w:tcPr>
            <w:tcW w:w="1559" w:type="dxa"/>
          </w:tcPr>
          <w:p w:rsidR="009A3AFE" w:rsidRDefault="009A3AFE" w:rsidP="009A3AFE">
            <w:pPr>
              <w:jc w:val="right"/>
              <w:rPr>
                <w:szCs w:val="24"/>
              </w:rPr>
            </w:pPr>
            <w:r>
              <w:rPr>
                <w:szCs w:val="24"/>
              </w:rPr>
              <w:t>49.3</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Default="009A3AFE" w:rsidP="009A3AFE">
            <w:pPr>
              <w:jc w:val="right"/>
              <w:rPr>
                <w:szCs w:val="24"/>
              </w:rPr>
            </w:pPr>
            <w:r>
              <w:rPr>
                <w:szCs w:val="24"/>
              </w:rPr>
              <w:t>-</w:t>
            </w:r>
          </w:p>
        </w:tc>
      </w:tr>
      <w:tr w:rsidR="009A3AFE" w:rsidRPr="007A07AD" w:rsidTr="009A3AFE">
        <w:tc>
          <w:tcPr>
            <w:tcW w:w="5058" w:type="dxa"/>
          </w:tcPr>
          <w:p w:rsidR="009A3AFE" w:rsidRDefault="009A3AFE" w:rsidP="009A3AFE">
            <w:pPr>
              <w:rPr>
                <w:szCs w:val="24"/>
              </w:rPr>
            </w:pPr>
            <w:r>
              <w:rPr>
                <w:szCs w:val="24"/>
              </w:rPr>
              <w:t>Other pooled investment vehicles</w:t>
            </w:r>
          </w:p>
          <w:p w:rsidR="009A3AFE" w:rsidRDefault="009A3AFE" w:rsidP="009A3AFE">
            <w:pPr>
              <w:rPr>
                <w:szCs w:val="24"/>
              </w:rPr>
            </w:pPr>
            <w:r>
              <w:rPr>
                <w:szCs w:val="24"/>
              </w:rPr>
              <w:t>-UK</w:t>
            </w:r>
          </w:p>
        </w:tc>
        <w:tc>
          <w:tcPr>
            <w:tcW w:w="1559" w:type="dxa"/>
          </w:tcPr>
          <w:p w:rsidR="009A3AFE" w:rsidRDefault="009A3AFE" w:rsidP="009A3AFE">
            <w:pPr>
              <w:jc w:val="right"/>
              <w:rPr>
                <w:szCs w:val="24"/>
              </w:rPr>
            </w:pPr>
          </w:p>
          <w:p w:rsidR="009A3AFE" w:rsidRDefault="009A3AFE" w:rsidP="009A3AFE">
            <w:pPr>
              <w:jc w:val="right"/>
              <w:rPr>
                <w:szCs w:val="24"/>
              </w:rPr>
            </w:pPr>
            <w:r>
              <w:rPr>
                <w:szCs w:val="24"/>
              </w:rPr>
              <w:t>-</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Default="009A3AFE" w:rsidP="009A3AFE">
            <w:pPr>
              <w:jc w:val="right"/>
              <w:rPr>
                <w:szCs w:val="24"/>
              </w:rPr>
            </w:pPr>
          </w:p>
          <w:p w:rsidR="009A3AFE" w:rsidRDefault="009A3AFE" w:rsidP="009A3AFE">
            <w:pPr>
              <w:jc w:val="right"/>
              <w:rPr>
                <w:szCs w:val="24"/>
              </w:rPr>
            </w:pPr>
            <w:r>
              <w:rPr>
                <w:szCs w:val="24"/>
              </w:rPr>
              <w:t>5.9</w:t>
            </w:r>
          </w:p>
        </w:tc>
      </w:tr>
      <w:tr w:rsidR="009A3AFE" w:rsidRPr="007A07AD" w:rsidTr="009A3AFE">
        <w:tc>
          <w:tcPr>
            <w:tcW w:w="5058" w:type="dxa"/>
          </w:tcPr>
          <w:p w:rsidR="009A3AFE" w:rsidRDefault="009A3AFE" w:rsidP="009A3AFE">
            <w:pPr>
              <w:rPr>
                <w:szCs w:val="24"/>
              </w:rPr>
            </w:pPr>
            <w:r>
              <w:rPr>
                <w:szCs w:val="24"/>
              </w:rPr>
              <w:t>Overseas</w:t>
            </w:r>
          </w:p>
        </w:tc>
        <w:tc>
          <w:tcPr>
            <w:tcW w:w="1559" w:type="dxa"/>
          </w:tcPr>
          <w:p w:rsidR="009A3AFE" w:rsidRPr="007A07AD" w:rsidRDefault="009A3AFE" w:rsidP="009A3AFE">
            <w:pPr>
              <w:jc w:val="right"/>
              <w:rPr>
                <w:szCs w:val="24"/>
              </w:rPr>
            </w:pPr>
            <w:r>
              <w:rPr>
                <w:szCs w:val="24"/>
              </w:rPr>
              <w:t>-</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Default="009A3AFE" w:rsidP="009A3AFE">
            <w:pPr>
              <w:jc w:val="right"/>
              <w:rPr>
                <w:szCs w:val="24"/>
              </w:rPr>
            </w:pPr>
            <w:r>
              <w:rPr>
                <w:szCs w:val="24"/>
              </w:rPr>
              <w:t>44.9</w:t>
            </w:r>
          </w:p>
        </w:tc>
      </w:tr>
      <w:tr w:rsidR="009A3AFE" w:rsidRPr="007A07AD" w:rsidTr="009A3AFE">
        <w:tc>
          <w:tcPr>
            <w:tcW w:w="5058" w:type="dxa"/>
          </w:tcPr>
          <w:p w:rsidR="009A3AFE" w:rsidRDefault="009A3AFE" w:rsidP="009A3AFE">
            <w:pPr>
              <w:rPr>
                <w:szCs w:val="24"/>
              </w:rPr>
            </w:pPr>
            <w:r>
              <w:rPr>
                <w:szCs w:val="24"/>
              </w:rPr>
              <w:t>Private Equity investments</w:t>
            </w:r>
          </w:p>
        </w:tc>
        <w:tc>
          <w:tcPr>
            <w:tcW w:w="1559" w:type="dxa"/>
          </w:tcPr>
          <w:p w:rsidR="009A3AFE" w:rsidRPr="007A07AD" w:rsidRDefault="009A3AFE" w:rsidP="009A3AFE">
            <w:pPr>
              <w:jc w:val="right"/>
              <w:rPr>
                <w:szCs w:val="24"/>
              </w:rPr>
            </w:pPr>
            <w:r>
              <w:rPr>
                <w:szCs w:val="24"/>
              </w:rPr>
              <w:t>287.5</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Default="009A3AFE" w:rsidP="009A3AFE">
            <w:pPr>
              <w:jc w:val="right"/>
              <w:rPr>
                <w:szCs w:val="24"/>
              </w:rPr>
            </w:pPr>
            <w:r>
              <w:rPr>
                <w:szCs w:val="24"/>
              </w:rPr>
              <w:t>201.8</w:t>
            </w:r>
          </w:p>
        </w:tc>
      </w:tr>
      <w:tr w:rsidR="009A3AFE" w:rsidRPr="007A07AD" w:rsidTr="009A3AFE">
        <w:tc>
          <w:tcPr>
            <w:tcW w:w="5058" w:type="dxa"/>
          </w:tcPr>
          <w:p w:rsidR="009A3AFE" w:rsidRDefault="009A3AFE" w:rsidP="009A3AFE">
            <w:pPr>
              <w:rPr>
                <w:szCs w:val="24"/>
              </w:rPr>
            </w:pPr>
            <w:r>
              <w:rPr>
                <w:szCs w:val="24"/>
              </w:rPr>
              <w:t>Hedge Fund of Funds</w:t>
            </w:r>
          </w:p>
        </w:tc>
        <w:tc>
          <w:tcPr>
            <w:tcW w:w="1559" w:type="dxa"/>
            <w:tcBorders>
              <w:bottom w:val="single" w:sz="18" w:space="0" w:color="auto"/>
            </w:tcBorders>
          </w:tcPr>
          <w:p w:rsidR="009A3AFE" w:rsidRPr="007A07AD" w:rsidRDefault="009A3AFE" w:rsidP="009A3AFE">
            <w:pPr>
              <w:jc w:val="right"/>
              <w:rPr>
                <w:szCs w:val="24"/>
              </w:rPr>
            </w:pPr>
            <w:r>
              <w:rPr>
                <w:szCs w:val="24"/>
              </w:rPr>
              <w:t>-</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bottom w:val="single" w:sz="18" w:space="0" w:color="auto"/>
            </w:tcBorders>
          </w:tcPr>
          <w:p w:rsidR="009A3AFE" w:rsidRDefault="009A3AFE" w:rsidP="009A3AFE">
            <w:pPr>
              <w:jc w:val="right"/>
              <w:rPr>
                <w:szCs w:val="24"/>
              </w:rPr>
            </w:pPr>
            <w:r>
              <w:rPr>
                <w:szCs w:val="24"/>
              </w:rPr>
              <w:t>69.6</w:t>
            </w:r>
          </w:p>
        </w:tc>
      </w:tr>
      <w:tr w:rsidR="009A3AFE" w:rsidRPr="007A07AD" w:rsidTr="009A3AFE">
        <w:tc>
          <w:tcPr>
            <w:tcW w:w="5058" w:type="dxa"/>
          </w:tcPr>
          <w:p w:rsidR="009A3AFE" w:rsidRDefault="009A3AFE" w:rsidP="009A3AFE">
            <w:pPr>
              <w:rPr>
                <w:szCs w:val="24"/>
              </w:rPr>
            </w:pPr>
          </w:p>
        </w:tc>
        <w:tc>
          <w:tcPr>
            <w:tcW w:w="1559" w:type="dxa"/>
            <w:tcBorders>
              <w:top w:val="single" w:sz="18" w:space="0" w:color="auto"/>
              <w:bottom w:val="single" w:sz="18" w:space="0" w:color="auto"/>
            </w:tcBorders>
          </w:tcPr>
          <w:p w:rsidR="009A3AFE" w:rsidRPr="007A07AD" w:rsidRDefault="009A3AFE" w:rsidP="009A3AFE">
            <w:pPr>
              <w:jc w:val="right"/>
              <w:rPr>
                <w:szCs w:val="24"/>
              </w:rPr>
            </w:pPr>
            <w:r>
              <w:rPr>
                <w:szCs w:val="24"/>
              </w:rPr>
              <w:t>1,466.3</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top w:val="single" w:sz="18" w:space="0" w:color="auto"/>
              <w:left w:val="single" w:sz="4" w:space="0" w:color="FFFFFF" w:themeColor="background1"/>
              <w:bottom w:val="single" w:sz="18" w:space="0" w:color="auto"/>
            </w:tcBorders>
          </w:tcPr>
          <w:p w:rsidR="009A3AFE" w:rsidRDefault="009A3AFE" w:rsidP="009A3AFE">
            <w:pPr>
              <w:jc w:val="right"/>
              <w:rPr>
                <w:szCs w:val="24"/>
              </w:rPr>
            </w:pPr>
            <w:r>
              <w:rPr>
                <w:szCs w:val="24"/>
              </w:rPr>
              <w:t>1,395.5</w:t>
            </w:r>
          </w:p>
        </w:tc>
      </w:tr>
    </w:tbl>
    <w:p w:rsidR="009A3AFE" w:rsidRDefault="009A3AFE" w:rsidP="009A3AFE"/>
    <w:p w:rsidR="009A3AFE" w:rsidRDefault="009A3AFE" w:rsidP="009A3AFE">
      <w:r>
        <w:br w:type="page"/>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9A3AFE" w:rsidTr="009A3AFE">
        <w:tc>
          <w:tcPr>
            <w:tcW w:w="5058" w:type="dxa"/>
          </w:tcPr>
          <w:p w:rsidR="009A3AFE" w:rsidRDefault="009A3AFE" w:rsidP="009A3AFE">
            <w:pPr>
              <w:rPr>
                <w:b/>
                <w:szCs w:val="24"/>
              </w:rPr>
            </w:pPr>
          </w:p>
        </w:tc>
        <w:tc>
          <w:tcPr>
            <w:tcW w:w="1559" w:type="dxa"/>
          </w:tcPr>
          <w:p w:rsidR="009A3AFE" w:rsidRDefault="009A3AFE" w:rsidP="009A3AFE">
            <w:pPr>
              <w:jc w:val="right"/>
              <w:rPr>
                <w:b/>
                <w:szCs w:val="24"/>
              </w:rPr>
            </w:pPr>
            <w:r>
              <w:rPr>
                <w:b/>
                <w:szCs w:val="24"/>
              </w:rPr>
              <w:t>2011/12</w:t>
            </w:r>
          </w:p>
          <w:p w:rsidR="009A3AFE" w:rsidRDefault="009A3AFE" w:rsidP="009A3AFE">
            <w:pPr>
              <w:jc w:val="right"/>
              <w:rPr>
                <w:b/>
                <w:szCs w:val="24"/>
              </w:rPr>
            </w:pPr>
            <w:r>
              <w:rPr>
                <w:b/>
                <w:szCs w:val="24"/>
              </w:rPr>
              <w:t>£m</w:t>
            </w:r>
          </w:p>
        </w:tc>
        <w:tc>
          <w:tcPr>
            <w:tcW w:w="430" w:type="dxa"/>
            <w:tcBorders>
              <w:right w:val="single" w:sz="4" w:space="0" w:color="FFFFFF" w:themeColor="background1"/>
            </w:tcBorders>
          </w:tcPr>
          <w:p w:rsidR="009A3AFE" w:rsidRDefault="009A3AFE" w:rsidP="009A3AFE">
            <w:pPr>
              <w:jc w:val="right"/>
              <w:rPr>
                <w:b/>
                <w:szCs w:val="24"/>
              </w:rPr>
            </w:pPr>
          </w:p>
          <w:p w:rsidR="009A3AFE" w:rsidRDefault="009A3AFE" w:rsidP="009A3AFE">
            <w:pPr>
              <w:jc w:val="right"/>
              <w:rPr>
                <w:b/>
                <w:szCs w:val="24"/>
              </w:rPr>
            </w:pPr>
          </w:p>
        </w:tc>
        <w:tc>
          <w:tcPr>
            <w:tcW w:w="1696" w:type="dxa"/>
            <w:tcBorders>
              <w:left w:val="single" w:sz="4" w:space="0" w:color="FFFFFF" w:themeColor="background1"/>
            </w:tcBorders>
          </w:tcPr>
          <w:p w:rsidR="009A3AFE" w:rsidRDefault="009A3AFE" w:rsidP="009A3AFE">
            <w:pPr>
              <w:jc w:val="right"/>
              <w:rPr>
                <w:b/>
                <w:szCs w:val="24"/>
              </w:rPr>
            </w:pPr>
            <w:r>
              <w:rPr>
                <w:b/>
                <w:szCs w:val="24"/>
              </w:rPr>
              <w:t>2010/11</w:t>
            </w:r>
          </w:p>
          <w:p w:rsidR="009A3AFE" w:rsidRDefault="009A3AFE" w:rsidP="009A3AFE">
            <w:pPr>
              <w:jc w:val="right"/>
              <w:rPr>
                <w:b/>
                <w:szCs w:val="24"/>
              </w:rPr>
            </w:pPr>
            <w:r>
              <w:rPr>
                <w:b/>
                <w:szCs w:val="24"/>
              </w:rPr>
              <w:t>£m</w:t>
            </w:r>
          </w:p>
          <w:p w:rsidR="009A3AFE" w:rsidRDefault="009A3AFE" w:rsidP="009A3AFE">
            <w:pPr>
              <w:jc w:val="right"/>
              <w:rPr>
                <w:b/>
                <w:szCs w:val="24"/>
              </w:rPr>
            </w:pPr>
          </w:p>
        </w:tc>
      </w:tr>
      <w:tr w:rsidR="009A3AFE" w:rsidRPr="007A07AD" w:rsidTr="009A3AFE">
        <w:tc>
          <w:tcPr>
            <w:tcW w:w="5058" w:type="dxa"/>
          </w:tcPr>
          <w:p w:rsidR="009A3AFE" w:rsidRPr="00601704" w:rsidRDefault="009A3AFE" w:rsidP="009A3AFE">
            <w:pPr>
              <w:rPr>
                <w:b/>
                <w:szCs w:val="24"/>
              </w:rPr>
            </w:pPr>
            <w:r w:rsidRPr="00601704">
              <w:rPr>
                <w:b/>
                <w:szCs w:val="24"/>
              </w:rPr>
              <w:t>Properties</w:t>
            </w:r>
          </w:p>
        </w:tc>
        <w:tc>
          <w:tcPr>
            <w:tcW w:w="1559" w:type="dxa"/>
          </w:tcPr>
          <w:p w:rsidR="009A3AFE" w:rsidRPr="007A07AD" w:rsidRDefault="009A3AFE" w:rsidP="009A3AFE">
            <w:pPr>
              <w:jc w:val="right"/>
              <w:rPr>
                <w:szCs w:val="24"/>
              </w:rPr>
            </w:pP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p>
        </w:tc>
      </w:tr>
      <w:tr w:rsidR="009A3AFE" w:rsidRPr="007A07AD" w:rsidTr="009A3AFE">
        <w:tc>
          <w:tcPr>
            <w:tcW w:w="5058" w:type="dxa"/>
          </w:tcPr>
          <w:p w:rsidR="009A3AFE" w:rsidRDefault="009A3AFE" w:rsidP="009A3AFE">
            <w:pPr>
              <w:rPr>
                <w:szCs w:val="24"/>
              </w:rPr>
            </w:pPr>
            <w:r>
              <w:rPr>
                <w:szCs w:val="24"/>
              </w:rPr>
              <w:t>UK – Freehold</w:t>
            </w:r>
          </w:p>
        </w:tc>
        <w:tc>
          <w:tcPr>
            <w:tcW w:w="1559" w:type="dxa"/>
          </w:tcPr>
          <w:p w:rsidR="009A3AFE" w:rsidRPr="007A07AD" w:rsidRDefault="009A3AFE" w:rsidP="009A3AFE">
            <w:pPr>
              <w:jc w:val="right"/>
              <w:rPr>
                <w:szCs w:val="24"/>
              </w:rPr>
            </w:pPr>
            <w:r>
              <w:rPr>
                <w:szCs w:val="24"/>
              </w:rPr>
              <w:t>292.9</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r>
              <w:rPr>
                <w:szCs w:val="24"/>
              </w:rPr>
              <w:t>318.9</w:t>
            </w:r>
          </w:p>
        </w:tc>
      </w:tr>
      <w:tr w:rsidR="009A3AFE" w:rsidRPr="007A07AD" w:rsidTr="009A3AFE">
        <w:tc>
          <w:tcPr>
            <w:tcW w:w="5058" w:type="dxa"/>
          </w:tcPr>
          <w:p w:rsidR="009A3AFE" w:rsidRDefault="009A3AFE" w:rsidP="009A3AFE">
            <w:pPr>
              <w:rPr>
                <w:szCs w:val="24"/>
              </w:rPr>
            </w:pPr>
            <w:r>
              <w:rPr>
                <w:szCs w:val="24"/>
              </w:rPr>
              <w:t>UK – Long Leasehold</w:t>
            </w:r>
          </w:p>
        </w:tc>
        <w:tc>
          <w:tcPr>
            <w:tcW w:w="1559" w:type="dxa"/>
            <w:tcBorders>
              <w:bottom w:val="single" w:sz="18" w:space="0" w:color="auto"/>
            </w:tcBorders>
          </w:tcPr>
          <w:p w:rsidR="009A3AFE" w:rsidRPr="007A07AD" w:rsidRDefault="009A3AFE" w:rsidP="009A3AFE">
            <w:pPr>
              <w:jc w:val="right"/>
              <w:rPr>
                <w:szCs w:val="24"/>
              </w:rPr>
            </w:pPr>
            <w:r>
              <w:rPr>
                <w:szCs w:val="24"/>
              </w:rPr>
              <w:t>91.0</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bottom w:val="single" w:sz="18" w:space="0" w:color="auto"/>
            </w:tcBorders>
          </w:tcPr>
          <w:p w:rsidR="009A3AFE" w:rsidRDefault="009A3AFE" w:rsidP="009A3AFE">
            <w:pPr>
              <w:jc w:val="right"/>
              <w:rPr>
                <w:szCs w:val="24"/>
              </w:rPr>
            </w:pPr>
            <w:r>
              <w:rPr>
                <w:szCs w:val="24"/>
              </w:rPr>
              <w:t>78.6</w:t>
            </w:r>
          </w:p>
        </w:tc>
      </w:tr>
      <w:tr w:rsidR="009A3AFE" w:rsidRPr="007A07AD" w:rsidTr="009A3AFE">
        <w:tc>
          <w:tcPr>
            <w:tcW w:w="5058" w:type="dxa"/>
          </w:tcPr>
          <w:p w:rsidR="009A3AFE" w:rsidRDefault="009A3AFE" w:rsidP="009A3AFE">
            <w:pPr>
              <w:rPr>
                <w:szCs w:val="24"/>
              </w:rPr>
            </w:pPr>
          </w:p>
        </w:tc>
        <w:tc>
          <w:tcPr>
            <w:tcW w:w="1559" w:type="dxa"/>
            <w:tcBorders>
              <w:top w:val="single" w:sz="18" w:space="0" w:color="auto"/>
              <w:bottom w:val="single" w:sz="18" w:space="0" w:color="auto"/>
            </w:tcBorders>
          </w:tcPr>
          <w:p w:rsidR="009A3AFE" w:rsidRPr="007A07AD" w:rsidRDefault="009A3AFE" w:rsidP="009A3AFE">
            <w:pPr>
              <w:jc w:val="right"/>
              <w:rPr>
                <w:szCs w:val="24"/>
              </w:rPr>
            </w:pPr>
            <w:r>
              <w:rPr>
                <w:szCs w:val="24"/>
              </w:rPr>
              <w:t>383.9</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top w:val="single" w:sz="18" w:space="0" w:color="auto"/>
              <w:left w:val="single" w:sz="4" w:space="0" w:color="FFFFFF" w:themeColor="background1"/>
              <w:bottom w:val="single" w:sz="18" w:space="0" w:color="auto"/>
            </w:tcBorders>
          </w:tcPr>
          <w:p w:rsidR="009A3AFE" w:rsidRDefault="009A3AFE" w:rsidP="009A3AFE">
            <w:pPr>
              <w:jc w:val="right"/>
              <w:rPr>
                <w:szCs w:val="24"/>
              </w:rPr>
            </w:pPr>
            <w:r>
              <w:rPr>
                <w:szCs w:val="24"/>
              </w:rPr>
              <w:t>397.5</w:t>
            </w:r>
          </w:p>
        </w:tc>
      </w:tr>
    </w:tbl>
    <w:p w:rsidR="009A3AFE" w:rsidRDefault="009A3AFE" w:rsidP="009A3AFE"/>
    <w:p w:rsidR="009A3AFE" w:rsidRDefault="009A3AFE" w:rsidP="009A3AFE"/>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9A3AFE" w:rsidTr="009A3AFE">
        <w:tc>
          <w:tcPr>
            <w:tcW w:w="5058" w:type="dxa"/>
          </w:tcPr>
          <w:p w:rsidR="009A3AFE" w:rsidRDefault="009A3AFE" w:rsidP="009A3AFE">
            <w:pPr>
              <w:rPr>
                <w:b/>
                <w:szCs w:val="24"/>
              </w:rPr>
            </w:pPr>
          </w:p>
        </w:tc>
        <w:tc>
          <w:tcPr>
            <w:tcW w:w="1559" w:type="dxa"/>
          </w:tcPr>
          <w:p w:rsidR="009A3AFE" w:rsidRDefault="009A3AFE" w:rsidP="009A3AFE">
            <w:pPr>
              <w:jc w:val="right"/>
              <w:rPr>
                <w:b/>
                <w:szCs w:val="24"/>
              </w:rPr>
            </w:pPr>
            <w:r>
              <w:rPr>
                <w:b/>
                <w:szCs w:val="24"/>
              </w:rPr>
              <w:t>2011/12</w:t>
            </w:r>
          </w:p>
          <w:p w:rsidR="009A3AFE" w:rsidRDefault="009A3AFE" w:rsidP="009A3AFE">
            <w:pPr>
              <w:jc w:val="right"/>
              <w:rPr>
                <w:b/>
                <w:szCs w:val="24"/>
              </w:rPr>
            </w:pPr>
            <w:r>
              <w:rPr>
                <w:b/>
                <w:szCs w:val="24"/>
              </w:rPr>
              <w:t>£m</w:t>
            </w:r>
          </w:p>
        </w:tc>
        <w:tc>
          <w:tcPr>
            <w:tcW w:w="430" w:type="dxa"/>
            <w:tcBorders>
              <w:right w:val="single" w:sz="4" w:space="0" w:color="FFFFFF" w:themeColor="background1"/>
            </w:tcBorders>
          </w:tcPr>
          <w:p w:rsidR="009A3AFE" w:rsidRDefault="009A3AFE" w:rsidP="009A3AFE">
            <w:pPr>
              <w:jc w:val="right"/>
              <w:rPr>
                <w:b/>
                <w:szCs w:val="24"/>
              </w:rPr>
            </w:pPr>
          </w:p>
          <w:p w:rsidR="009A3AFE" w:rsidRDefault="009A3AFE" w:rsidP="009A3AFE">
            <w:pPr>
              <w:jc w:val="right"/>
              <w:rPr>
                <w:b/>
                <w:szCs w:val="24"/>
              </w:rPr>
            </w:pPr>
          </w:p>
        </w:tc>
        <w:tc>
          <w:tcPr>
            <w:tcW w:w="1696" w:type="dxa"/>
            <w:tcBorders>
              <w:left w:val="single" w:sz="4" w:space="0" w:color="FFFFFF" w:themeColor="background1"/>
            </w:tcBorders>
          </w:tcPr>
          <w:p w:rsidR="009A3AFE" w:rsidRDefault="009A3AFE" w:rsidP="009A3AFE">
            <w:pPr>
              <w:jc w:val="right"/>
              <w:rPr>
                <w:b/>
                <w:szCs w:val="24"/>
              </w:rPr>
            </w:pPr>
            <w:r>
              <w:rPr>
                <w:b/>
                <w:szCs w:val="24"/>
              </w:rPr>
              <w:t>2010/11</w:t>
            </w:r>
          </w:p>
          <w:p w:rsidR="009A3AFE" w:rsidRDefault="009A3AFE" w:rsidP="009A3AFE">
            <w:pPr>
              <w:jc w:val="right"/>
              <w:rPr>
                <w:b/>
                <w:szCs w:val="24"/>
              </w:rPr>
            </w:pPr>
            <w:r>
              <w:rPr>
                <w:b/>
                <w:szCs w:val="24"/>
              </w:rPr>
              <w:t>£m</w:t>
            </w:r>
          </w:p>
          <w:p w:rsidR="009A3AFE" w:rsidRDefault="009A3AFE" w:rsidP="009A3AFE">
            <w:pPr>
              <w:jc w:val="right"/>
              <w:rPr>
                <w:b/>
                <w:szCs w:val="24"/>
              </w:rPr>
            </w:pPr>
          </w:p>
        </w:tc>
      </w:tr>
      <w:tr w:rsidR="009A3AFE" w:rsidRPr="007A07AD" w:rsidTr="009A3AFE">
        <w:tc>
          <w:tcPr>
            <w:tcW w:w="5058" w:type="dxa"/>
          </w:tcPr>
          <w:p w:rsidR="009A3AFE" w:rsidRPr="007A07AD" w:rsidRDefault="009A3AFE" w:rsidP="009A3AFE">
            <w:pPr>
              <w:rPr>
                <w:szCs w:val="24"/>
              </w:rPr>
            </w:pPr>
            <w:r>
              <w:rPr>
                <w:szCs w:val="24"/>
              </w:rPr>
              <w:t>Balance at start of the year</w:t>
            </w:r>
          </w:p>
        </w:tc>
        <w:tc>
          <w:tcPr>
            <w:tcW w:w="1559" w:type="dxa"/>
          </w:tcPr>
          <w:p w:rsidR="009A3AFE" w:rsidRPr="007A07AD" w:rsidRDefault="009A3AFE" w:rsidP="009A3AFE">
            <w:pPr>
              <w:jc w:val="right"/>
              <w:rPr>
                <w:szCs w:val="24"/>
              </w:rPr>
            </w:pPr>
            <w:r>
              <w:rPr>
                <w:szCs w:val="24"/>
              </w:rPr>
              <w:t>397.5</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r>
              <w:rPr>
                <w:szCs w:val="24"/>
              </w:rPr>
              <w:t>306.1</w:t>
            </w:r>
          </w:p>
        </w:tc>
      </w:tr>
      <w:tr w:rsidR="009A3AFE" w:rsidRPr="007A07AD" w:rsidTr="009A3AFE">
        <w:tc>
          <w:tcPr>
            <w:tcW w:w="5058" w:type="dxa"/>
          </w:tcPr>
          <w:p w:rsidR="009A3AFE" w:rsidRDefault="009A3AFE" w:rsidP="009A3AFE">
            <w:pPr>
              <w:rPr>
                <w:szCs w:val="24"/>
              </w:rPr>
            </w:pPr>
            <w:r>
              <w:rPr>
                <w:szCs w:val="24"/>
              </w:rPr>
              <w:t>Additions</w:t>
            </w:r>
          </w:p>
        </w:tc>
        <w:tc>
          <w:tcPr>
            <w:tcW w:w="1559" w:type="dxa"/>
          </w:tcPr>
          <w:p w:rsidR="009A3AFE" w:rsidRPr="007A07AD" w:rsidRDefault="009A3AFE" w:rsidP="009A3AFE">
            <w:pPr>
              <w:jc w:val="right"/>
              <w:rPr>
                <w:szCs w:val="24"/>
              </w:rPr>
            </w:pPr>
            <w:r>
              <w:rPr>
                <w:szCs w:val="24"/>
              </w:rPr>
              <w:t>24.2</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r>
              <w:rPr>
                <w:szCs w:val="24"/>
              </w:rPr>
              <w:t>89.9</w:t>
            </w:r>
          </w:p>
        </w:tc>
      </w:tr>
      <w:tr w:rsidR="009A3AFE" w:rsidRPr="007A07AD" w:rsidTr="009A3AFE">
        <w:tc>
          <w:tcPr>
            <w:tcW w:w="5058" w:type="dxa"/>
          </w:tcPr>
          <w:p w:rsidR="009A3AFE" w:rsidRDefault="009A3AFE" w:rsidP="009A3AFE">
            <w:pPr>
              <w:rPr>
                <w:szCs w:val="24"/>
              </w:rPr>
            </w:pPr>
            <w:r>
              <w:rPr>
                <w:szCs w:val="24"/>
              </w:rPr>
              <w:t>Disposals</w:t>
            </w:r>
          </w:p>
        </w:tc>
        <w:tc>
          <w:tcPr>
            <w:tcW w:w="1559" w:type="dxa"/>
          </w:tcPr>
          <w:p w:rsidR="009A3AFE" w:rsidRPr="007A07AD" w:rsidRDefault="009A3AFE" w:rsidP="009A3AFE">
            <w:pPr>
              <w:jc w:val="right"/>
              <w:rPr>
                <w:szCs w:val="24"/>
              </w:rPr>
            </w:pPr>
            <w:r>
              <w:rPr>
                <w:szCs w:val="24"/>
              </w:rPr>
              <w:t>(34.1)</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r>
              <w:rPr>
                <w:szCs w:val="24"/>
              </w:rPr>
              <w:t>(9.1)</w:t>
            </w:r>
          </w:p>
        </w:tc>
      </w:tr>
      <w:tr w:rsidR="009A3AFE" w:rsidRPr="007A07AD" w:rsidTr="009A3AFE">
        <w:tc>
          <w:tcPr>
            <w:tcW w:w="5058" w:type="dxa"/>
          </w:tcPr>
          <w:p w:rsidR="009A3AFE" w:rsidRDefault="009A3AFE" w:rsidP="009A3AFE">
            <w:pPr>
              <w:rPr>
                <w:szCs w:val="24"/>
              </w:rPr>
            </w:pPr>
            <w:r>
              <w:rPr>
                <w:szCs w:val="24"/>
              </w:rPr>
              <w:t>Net gain/loss on fair value</w:t>
            </w:r>
          </w:p>
        </w:tc>
        <w:tc>
          <w:tcPr>
            <w:tcW w:w="1559" w:type="dxa"/>
          </w:tcPr>
          <w:p w:rsidR="009A3AFE" w:rsidRPr="007A07AD" w:rsidRDefault="009A3AFE" w:rsidP="009A3AFE">
            <w:pPr>
              <w:jc w:val="right"/>
              <w:rPr>
                <w:szCs w:val="24"/>
              </w:rPr>
            </w:pPr>
            <w:r>
              <w:rPr>
                <w:szCs w:val="24"/>
              </w:rPr>
              <w:t>(3.7)</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r>
              <w:rPr>
                <w:szCs w:val="24"/>
              </w:rPr>
              <w:t>10.6</w:t>
            </w:r>
          </w:p>
        </w:tc>
      </w:tr>
      <w:tr w:rsidR="009A3AFE" w:rsidRPr="007A07AD" w:rsidTr="009A3AFE">
        <w:tc>
          <w:tcPr>
            <w:tcW w:w="5058" w:type="dxa"/>
          </w:tcPr>
          <w:p w:rsidR="009A3AFE" w:rsidRDefault="009A3AFE" w:rsidP="009A3AFE">
            <w:pPr>
              <w:rPr>
                <w:szCs w:val="24"/>
              </w:rPr>
            </w:pPr>
            <w:r>
              <w:rPr>
                <w:szCs w:val="24"/>
              </w:rPr>
              <w:t>Transfers in/out</w:t>
            </w:r>
          </w:p>
        </w:tc>
        <w:tc>
          <w:tcPr>
            <w:tcW w:w="1559" w:type="dxa"/>
          </w:tcPr>
          <w:p w:rsidR="009A3AFE" w:rsidRPr="007A07AD" w:rsidRDefault="009A3AFE" w:rsidP="009A3AFE">
            <w:pPr>
              <w:jc w:val="right"/>
              <w:rPr>
                <w:szCs w:val="24"/>
              </w:rPr>
            </w:pPr>
            <w:r>
              <w:rPr>
                <w:szCs w:val="24"/>
              </w:rPr>
              <w:t>-</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r>
              <w:rPr>
                <w:szCs w:val="24"/>
              </w:rPr>
              <w:t>-</w:t>
            </w:r>
          </w:p>
        </w:tc>
      </w:tr>
      <w:tr w:rsidR="009A3AFE" w:rsidRPr="007A07AD" w:rsidTr="009A3AFE">
        <w:tc>
          <w:tcPr>
            <w:tcW w:w="5058" w:type="dxa"/>
          </w:tcPr>
          <w:p w:rsidR="009A3AFE" w:rsidRDefault="009A3AFE" w:rsidP="009A3AFE">
            <w:pPr>
              <w:rPr>
                <w:szCs w:val="24"/>
              </w:rPr>
            </w:pPr>
            <w:r>
              <w:rPr>
                <w:szCs w:val="24"/>
              </w:rPr>
              <w:t>Other changes in fair value</w:t>
            </w:r>
          </w:p>
        </w:tc>
        <w:tc>
          <w:tcPr>
            <w:tcW w:w="1559" w:type="dxa"/>
            <w:tcBorders>
              <w:bottom w:val="single" w:sz="18" w:space="0" w:color="auto"/>
            </w:tcBorders>
          </w:tcPr>
          <w:p w:rsidR="009A3AFE" w:rsidRPr="007A07AD" w:rsidRDefault="009A3AFE" w:rsidP="009A3AFE">
            <w:pPr>
              <w:jc w:val="right"/>
              <w:rPr>
                <w:szCs w:val="24"/>
              </w:rPr>
            </w:pPr>
            <w:r>
              <w:rPr>
                <w:szCs w:val="24"/>
              </w:rPr>
              <w:t>-</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bottom w:val="single" w:sz="18" w:space="0" w:color="auto"/>
            </w:tcBorders>
          </w:tcPr>
          <w:p w:rsidR="009A3AFE" w:rsidRPr="007A07AD" w:rsidRDefault="009A3AFE" w:rsidP="009A3AFE">
            <w:pPr>
              <w:jc w:val="right"/>
              <w:rPr>
                <w:szCs w:val="24"/>
              </w:rPr>
            </w:pPr>
            <w:r>
              <w:rPr>
                <w:szCs w:val="24"/>
              </w:rPr>
              <w:t>-</w:t>
            </w:r>
          </w:p>
        </w:tc>
      </w:tr>
      <w:tr w:rsidR="009A3AFE" w:rsidRPr="007A07AD" w:rsidTr="009A3AFE">
        <w:tc>
          <w:tcPr>
            <w:tcW w:w="5058" w:type="dxa"/>
          </w:tcPr>
          <w:p w:rsidR="009A3AFE" w:rsidRDefault="009A3AFE" w:rsidP="009A3AFE">
            <w:pPr>
              <w:rPr>
                <w:szCs w:val="24"/>
              </w:rPr>
            </w:pPr>
            <w:r>
              <w:rPr>
                <w:szCs w:val="24"/>
              </w:rPr>
              <w:t>Balance at the end of the year</w:t>
            </w:r>
          </w:p>
        </w:tc>
        <w:tc>
          <w:tcPr>
            <w:tcW w:w="1559" w:type="dxa"/>
            <w:tcBorders>
              <w:top w:val="single" w:sz="18" w:space="0" w:color="auto"/>
              <w:bottom w:val="single" w:sz="18" w:space="0" w:color="auto"/>
            </w:tcBorders>
          </w:tcPr>
          <w:p w:rsidR="009A3AFE" w:rsidRPr="007A07AD" w:rsidRDefault="009A3AFE" w:rsidP="009A3AFE">
            <w:pPr>
              <w:jc w:val="right"/>
              <w:rPr>
                <w:szCs w:val="24"/>
              </w:rPr>
            </w:pPr>
            <w:r>
              <w:rPr>
                <w:szCs w:val="24"/>
              </w:rPr>
              <w:t>383.9</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top w:val="single" w:sz="18" w:space="0" w:color="auto"/>
              <w:left w:val="single" w:sz="4" w:space="0" w:color="FFFFFF" w:themeColor="background1"/>
              <w:bottom w:val="single" w:sz="18" w:space="0" w:color="auto"/>
            </w:tcBorders>
          </w:tcPr>
          <w:p w:rsidR="009A3AFE" w:rsidRPr="007A07AD" w:rsidRDefault="009A3AFE" w:rsidP="009A3AFE">
            <w:pPr>
              <w:jc w:val="right"/>
              <w:rPr>
                <w:szCs w:val="24"/>
              </w:rPr>
            </w:pPr>
            <w:r>
              <w:rPr>
                <w:szCs w:val="24"/>
              </w:rPr>
              <w:t>397.5</w:t>
            </w:r>
          </w:p>
        </w:tc>
      </w:tr>
    </w:tbl>
    <w:p w:rsidR="009A3AFE" w:rsidRDefault="009A3AFE" w:rsidP="009A3AFE"/>
    <w:p w:rsidR="009A3AFE" w:rsidRDefault="009A3AFE" w:rsidP="009A3AFE"/>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9A3AFE" w:rsidTr="009A3AFE">
        <w:tc>
          <w:tcPr>
            <w:tcW w:w="5058" w:type="dxa"/>
          </w:tcPr>
          <w:p w:rsidR="009A3AFE" w:rsidRDefault="009A3AFE" w:rsidP="009A3AFE">
            <w:pPr>
              <w:rPr>
                <w:b/>
                <w:szCs w:val="24"/>
              </w:rPr>
            </w:pPr>
          </w:p>
        </w:tc>
        <w:tc>
          <w:tcPr>
            <w:tcW w:w="1559" w:type="dxa"/>
          </w:tcPr>
          <w:p w:rsidR="009A3AFE" w:rsidRDefault="009A3AFE" w:rsidP="009A3AFE">
            <w:pPr>
              <w:jc w:val="right"/>
              <w:rPr>
                <w:b/>
                <w:szCs w:val="24"/>
              </w:rPr>
            </w:pPr>
            <w:r>
              <w:rPr>
                <w:b/>
                <w:szCs w:val="24"/>
              </w:rPr>
              <w:t>2011/12</w:t>
            </w:r>
          </w:p>
          <w:p w:rsidR="009A3AFE" w:rsidRDefault="009A3AFE" w:rsidP="009A3AFE">
            <w:pPr>
              <w:jc w:val="right"/>
              <w:rPr>
                <w:b/>
                <w:szCs w:val="24"/>
              </w:rPr>
            </w:pPr>
            <w:r>
              <w:rPr>
                <w:b/>
                <w:szCs w:val="24"/>
              </w:rPr>
              <w:t>£m</w:t>
            </w:r>
          </w:p>
        </w:tc>
        <w:tc>
          <w:tcPr>
            <w:tcW w:w="430" w:type="dxa"/>
            <w:tcBorders>
              <w:right w:val="single" w:sz="4" w:space="0" w:color="FFFFFF" w:themeColor="background1"/>
            </w:tcBorders>
          </w:tcPr>
          <w:p w:rsidR="009A3AFE" w:rsidRDefault="009A3AFE" w:rsidP="009A3AFE">
            <w:pPr>
              <w:jc w:val="right"/>
              <w:rPr>
                <w:b/>
                <w:szCs w:val="24"/>
              </w:rPr>
            </w:pPr>
          </w:p>
          <w:p w:rsidR="009A3AFE" w:rsidRDefault="009A3AFE" w:rsidP="009A3AFE">
            <w:pPr>
              <w:jc w:val="right"/>
              <w:rPr>
                <w:b/>
                <w:szCs w:val="24"/>
              </w:rPr>
            </w:pPr>
          </w:p>
        </w:tc>
        <w:tc>
          <w:tcPr>
            <w:tcW w:w="1696" w:type="dxa"/>
            <w:tcBorders>
              <w:left w:val="single" w:sz="4" w:space="0" w:color="FFFFFF" w:themeColor="background1"/>
            </w:tcBorders>
          </w:tcPr>
          <w:p w:rsidR="009A3AFE" w:rsidRDefault="009A3AFE" w:rsidP="009A3AFE">
            <w:pPr>
              <w:jc w:val="right"/>
              <w:rPr>
                <w:b/>
                <w:szCs w:val="24"/>
              </w:rPr>
            </w:pPr>
            <w:r>
              <w:rPr>
                <w:b/>
                <w:szCs w:val="24"/>
              </w:rPr>
              <w:t>2010/11</w:t>
            </w:r>
          </w:p>
          <w:p w:rsidR="009A3AFE" w:rsidRDefault="009A3AFE" w:rsidP="009A3AFE">
            <w:pPr>
              <w:jc w:val="right"/>
              <w:rPr>
                <w:b/>
                <w:szCs w:val="24"/>
              </w:rPr>
            </w:pPr>
            <w:r>
              <w:rPr>
                <w:b/>
                <w:szCs w:val="24"/>
              </w:rPr>
              <w:t>£m</w:t>
            </w:r>
          </w:p>
          <w:p w:rsidR="009A3AFE" w:rsidRDefault="009A3AFE" w:rsidP="009A3AFE">
            <w:pPr>
              <w:jc w:val="right"/>
              <w:rPr>
                <w:b/>
                <w:szCs w:val="24"/>
              </w:rPr>
            </w:pPr>
          </w:p>
        </w:tc>
      </w:tr>
      <w:tr w:rsidR="009A3AFE" w:rsidRPr="007A07AD" w:rsidTr="009A3AFE">
        <w:tc>
          <w:tcPr>
            <w:tcW w:w="5058" w:type="dxa"/>
          </w:tcPr>
          <w:p w:rsidR="009A3AFE" w:rsidRPr="00601704" w:rsidRDefault="009A3AFE" w:rsidP="009A3AFE">
            <w:pPr>
              <w:rPr>
                <w:b/>
                <w:szCs w:val="24"/>
              </w:rPr>
            </w:pPr>
            <w:r w:rsidRPr="00601704">
              <w:rPr>
                <w:b/>
                <w:szCs w:val="24"/>
              </w:rPr>
              <w:t>Derivatives Contracts</w:t>
            </w:r>
          </w:p>
        </w:tc>
        <w:tc>
          <w:tcPr>
            <w:tcW w:w="1559" w:type="dxa"/>
          </w:tcPr>
          <w:p w:rsidR="009A3AFE" w:rsidRPr="007A07AD" w:rsidRDefault="009A3AFE" w:rsidP="009A3AFE">
            <w:pPr>
              <w:jc w:val="right"/>
              <w:rPr>
                <w:szCs w:val="24"/>
              </w:rPr>
            </w:pP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p>
        </w:tc>
      </w:tr>
      <w:tr w:rsidR="009A3AFE" w:rsidRPr="007A07AD" w:rsidTr="009A3AFE">
        <w:tc>
          <w:tcPr>
            <w:tcW w:w="5058" w:type="dxa"/>
          </w:tcPr>
          <w:p w:rsidR="009A3AFE" w:rsidRDefault="009A3AFE" w:rsidP="009A3AFE">
            <w:pPr>
              <w:rPr>
                <w:szCs w:val="24"/>
              </w:rPr>
            </w:pPr>
            <w:r>
              <w:rPr>
                <w:szCs w:val="24"/>
              </w:rPr>
              <w:t>Futures Contracts</w:t>
            </w:r>
          </w:p>
        </w:tc>
        <w:tc>
          <w:tcPr>
            <w:tcW w:w="1559" w:type="dxa"/>
            <w:tcBorders>
              <w:bottom w:val="single" w:sz="18" w:space="0" w:color="auto"/>
            </w:tcBorders>
          </w:tcPr>
          <w:p w:rsidR="009A3AFE" w:rsidRPr="007A07AD" w:rsidRDefault="009A3AFE" w:rsidP="009A3AFE">
            <w:pPr>
              <w:jc w:val="right"/>
              <w:rPr>
                <w:szCs w:val="24"/>
              </w:rPr>
            </w:pPr>
            <w:r>
              <w:rPr>
                <w:szCs w:val="24"/>
              </w:rPr>
              <w:t>0.2</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bottom w:val="single" w:sz="18" w:space="0" w:color="auto"/>
            </w:tcBorders>
          </w:tcPr>
          <w:p w:rsidR="009A3AFE" w:rsidRPr="007A07AD" w:rsidRDefault="009A3AFE" w:rsidP="009A3AFE">
            <w:pPr>
              <w:jc w:val="right"/>
              <w:rPr>
                <w:szCs w:val="24"/>
              </w:rPr>
            </w:pPr>
            <w:r>
              <w:rPr>
                <w:szCs w:val="24"/>
              </w:rPr>
              <w:t>0.9</w:t>
            </w:r>
          </w:p>
        </w:tc>
      </w:tr>
      <w:tr w:rsidR="009A3AFE" w:rsidRPr="007A07AD" w:rsidTr="009A3AFE">
        <w:tc>
          <w:tcPr>
            <w:tcW w:w="5058" w:type="dxa"/>
          </w:tcPr>
          <w:p w:rsidR="009A3AFE" w:rsidRDefault="009A3AFE" w:rsidP="009A3AFE">
            <w:pPr>
              <w:rPr>
                <w:szCs w:val="24"/>
              </w:rPr>
            </w:pPr>
          </w:p>
        </w:tc>
        <w:tc>
          <w:tcPr>
            <w:tcW w:w="1559" w:type="dxa"/>
            <w:tcBorders>
              <w:top w:val="single" w:sz="18" w:space="0" w:color="auto"/>
              <w:bottom w:val="single" w:sz="18" w:space="0" w:color="auto"/>
            </w:tcBorders>
          </w:tcPr>
          <w:p w:rsidR="009A3AFE" w:rsidRPr="007A07AD" w:rsidRDefault="009A3AFE" w:rsidP="009A3AFE">
            <w:pPr>
              <w:jc w:val="right"/>
              <w:rPr>
                <w:szCs w:val="24"/>
              </w:rPr>
            </w:pPr>
            <w:r>
              <w:rPr>
                <w:szCs w:val="24"/>
              </w:rPr>
              <w:t>0.2</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top w:val="single" w:sz="18" w:space="0" w:color="auto"/>
              <w:left w:val="single" w:sz="4" w:space="0" w:color="FFFFFF" w:themeColor="background1"/>
              <w:bottom w:val="single" w:sz="18" w:space="0" w:color="auto"/>
            </w:tcBorders>
          </w:tcPr>
          <w:p w:rsidR="009A3AFE" w:rsidRPr="007A07AD" w:rsidRDefault="009A3AFE" w:rsidP="009A3AFE">
            <w:pPr>
              <w:jc w:val="right"/>
              <w:rPr>
                <w:szCs w:val="24"/>
              </w:rPr>
            </w:pPr>
            <w:r>
              <w:rPr>
                <w:szCs w:val="24"/>
              </w:rPr>
              <w:t>0.9</w:t>
            </w:r>
          </w:p>
        </w:tc>
      </w:tr>
    </w:tbl>
    <w:p w:rsidR="009A3AFE" w:rsidRDefault="009A3AFE" w:rsidP="009A3AFE"/>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91"/>
        <w:gridCol w:w="2213"/>
        <w:gridCol w:w="1503"/>
        <w:gridCol w:w="1368"/>
        <w:gridCol w:w="372"/>
        <w:gridCol w:w="1537"/>
      </w:tblGrid>
      <w:tr w:rsidR="009A3AFE" w:rsidTr="009A3AFE">
        <w:tc>
          <w:tcPr>
            <w:tcW w:w="2528" w:type="dxa"/>
          </w:tcPr>
          <w:p w:rsidR="009A3AFE" w:rsidRDefault="009A3AFE" w:rsidP="009A3AFE">
            <w:pPr>
              <w:rPr>
                <w:b/>
                <w:szCs w:val="24"/>
              </w:rPr>
            </w:pPr>
          </w:p>
        </w:tc>
        <w:tc>
          <w:tcPr>
            <w:tcW w:w="2528" w:type="dxa"/>
          </w:tcPr>
          <w:p w:rsidR="009A3AFE" w:rsidRDefault="009A3AFE" w:rsidP="009A3AFE">
            <w:pPr>
              <w:rPr>
                <w:b/>
                <w:szCs w:val="24"/>
              </w:rPr>
            </w:pPr>
          </w:p>
        </w:tc>
        <w:tc>
          <w:tcPr>
            <w:tcW w:w="1557" w:type="dxa"/>
          </w:tcPr>
          <w:p w:rsidR="009A3AFE" w:rsidRDefault="009A3AFE" w:rsidP="009A3AFE">
            <w:pPr>
              <w:jc w:val="right"/>
              <w:rPr>
                <w:b/>
                <w:szCs w:val="24"/>
              </w:rPr>
            </w:pPr>
            <w:r>
              <w:rPr>
                <w:b/>
                <w:szCs w:val="24"/>
              </w:rPr>
              <w:t>Economic</w:t>
            </w:r>
          </w:p>
        </w:tc>
        <w:tc>
          <w:tcPr>
            <w:tcW w:w="1558" w:type="dxa"/>
          </w:tcPr>
          <w:p w:rsidR="009A3AFE" w:rsidRDefault="009A3AFE" w:rsidP="009A3AFE">
            <w:pPr>
              <w:jc w:val="right"/>
              <w:rPr>
                <w:b/>
                <w:szCs w:val="24"/>
              </w:rPr>
            </w:pPr>
          </w:p>
        </w:tc>
        <w:tc>
          <w:tcPr>
            <w:tcW w:w="430" w:type="dxa"/>
            <w:tcBorders>
              <w:right w:val="single" w:sz="4" w:space="0" w:color="FFFFFF" w:themeColor="background1"/>
            </w:tcBorders>
          </w:tcPr>
          <w:p w:rsidR="009A3AFE" w:rsidRDefault="009A3AFE" w:rsidP="009A3AFE">
            <w:pPr>
              <w:jc w:val="right"/>
              <w:rPr>
                <w:b/>
                <w:szCs w:val="24"/>
              </w:rPr>
            </w:pPr>
          </w:p>
        </w:tc>
        <w:tc>
          <w:tcPr>
            <w:tcW w:w="1695" w:type="dxa"/>
            <w:tcBorders>
              <w:left w:val="single" w:sz="4" w:space="0" w:color="FFFFFF" w:themeColor="background1"/>
            </w:tcBorders>
          </w:tcPr>
          <w:p w:rsidR="009A3AFE" w:rsidRDefault="009A3AFE" w:rsidP="009A3AFE">
            <w:pPr>
              <w:jc w:val="right"/>
              <w:rPr>
                <w:b/>
                <w:szCs w:val="24"/>
              </w:rPr>
            </w:pPr>
          </w:p>
        </w:tc>
      </w:tr>
      <w:tr w:rsidR="009A3AFE" w:rsidTr="009A3AFE">
        <w:tc>
          <w:tcPr>
            <w:tcW w:w="2528" w:type="dxa"/>
          </w:tcPr>
          <w:p w:rsidR="009A3AFE" w:rsidRDefault="009A3AFE" w:rsidP="009A3AFE">
            <w:pPr>
              <w:rPr>
                <w:b/>
                <w:szCs w:val="24"/>
              </w:rPr>
            </w:pPr>
            <w:r>
              <w:rPr>
                <w:b/>
                <w:szCs w:val="24"/>
              </w:rPr>
              <w:t>Type of Future</w:t>
            </w:r>
          </w:p>
        </w:tc>
        <w:tc>
          <w:tcPr>
            <w:tcW w:w="2528" w:type="dxa"/>
          </w:tcPr>
          <w:p w:rsidR="009A3AFE" w:rsidRDefault="009A3AFE" w:rsidP="009A3AFE">
            <w:pPr>
              <w:rPr>
                <w:b/>
                <w:szCs w:val="24"/>
              </w:rPr>
            </w:pPr>
            <w:r>
              <w:rPr>
                <w:b/>
                <w:szCs w:val="24"/>
              </w:rPr>
              <w:t>Expiration</w:t>
            </w:r>
          </w:p>
        </w:tc>
        <w:tc>
          <w:tcPr>
            <w:tcW w:w="1557" w:type="dxa"/>
          </w:tcPr>
          <w:p w:rsidR="009A3AFE" w:rsidRDefault="009A3AFE" w:rsidP="009A3AFE">
            <w:pPr>
              <w:jc w:val="right"/>
              <w:rPr>
                <w:b/>
                <w:szCs w:val="24"/>
              </w:rPr>
            </w:pPr>
            <w:r>
              <w:rPr>
                <w:b/>
                <w:szCs w:val="24"/>
              </w:rPr>
              <w:t>Exposure</w:t>
            </w:r>
          </w:p>
          <w:p w:rsidR="009A3AFE" w:rsidRDefault="009A3AFE" w:rsidP="009A3AFE">
            <w:pPr>
              <w:jc w:val="right"/>
              <w:rPr>
                <w:b/>
                <w:szCs w:val="24"/>
              </w:rPr>
            </w:pPr>
            <w:r>
              <w:rPr>
                <w:b/>
                <w:szCs w:val="24"/>
              </w:rPr>
              <w:t>£m</w:t>
            </w:r>
          </w:p>
        </w:tc>
        <w:tc>
          <w:tcPr>
            <w:tcW w:w="1558" w:type="dxa"/>
          </w:tcPr>
          <w:p w:rsidR="009A3AFE" w:rsidRDefault="009A3AFE" w:rsidP="009A3AFE">
            <w:pPr>
              <w:jc w:val="right"/>
              <w:rPr>
                <w:b/>
                <w:szCs w:val="24"/>
              </w:rPr>
            </w:pPr>
            <w:r>
              <w:rPr>
                <w:b/>
                <w:szCs w:val="24"/>
              </w:rPr>
              <w:t>Asset</w:t>
            </w:r>
          </w:p>
          <w:p w:rsidR="009A3AFE" w:rsidRDefault="009A3AFE" w:rsidP="009A3AFE">
            <w:pPr>
              <w:jc w:val="right"/>
              <w:rPr>
                <w:b/>
                <w:szCs w:val="24"/>
              </w:rPr>
            </w:pPr>
            <w:r>
              <w:rPr>
                <w:b/>
                <w:szCs w:val="24"/>
              </w:rPr>
              <w:t>£m</w:t>
            </w:r>
          </w:p>
        </w:tc>
        <w:tc>
          <w:tcPr>
            <w:tcW w:w="430" w:type="dxa"/>
            <w:tcBorders>
              <w:right w:val="single" w:sz="4" w:space="0" w:color="FFFFFF" w:themeColor="background1"/>
            </w:tcBorders>
          </w:tcPr>
          <w:p w:rsidR="009A3AFE" w:rsidRDefault="009A3AFE" w:rsidP="009A3AFE">
            <w:pPr>
              <w:jc w:val="right"/>
              <w:rPr>
                <w:b/>
                <w:szCs w:val="24"/>
              </w:rPr>
            </w:pPr>
          </w:p>
          <w:p w:rsidR="009A3AFE" w:rsidRDefault="009A3AFE" w:rsidP="009A3AFE">
            <w:pPr>
              <w:jc w:val="right"/>
              <w:rPr>
                <w:b/>
                <w:szCs w:val="24"/>
              </w:rPr>
            </w:pPr>
          </w:p>
        </w:tc>
        <w:tc>
          <w:tcPr>
            <w:tcW w:w="1695" w:type="dxa"/>
            <w:tcBorders>
              <w:left w:val="single" w:sz="4" w:space="0" w:color="FFFFFF" w:themeColor="background1"/>
            </w:tcBorders>
          </w:tcPr>
          <w:p w:rsidR="009A3AFE" w:rsidRDefault="009A3AFE" w:rsidP="009A3AFE">
            <w:pPr>
              <w:jc w:val="right"/>
              <w:rPr>
                <w:b/>
                <w:szCs w:val="24"/>
              </w:rPr>
            </w:pPr>
            <w:r>
              <w:rPr>
                <w:b/>
                <w:szCs w:val="24"/>
              </w:rPr>
              <w:t>Liability</w:t>
            </w:r>
          </w:p>
          <w:p w:rsidR="009A3AFE" w:rsidRDefault="009A3AFE" w:rsidP="009A3AFE">
            <w:pPr>
              <w:jc w:val="right"/>
              <w:rPr>
                <w:b/>
                <w:szCs w:val="24"/>
              </w:rPr>
            </w:pPr>
            <w:r>
              <w:rPr>
                <w:b/>
                <w:szCs w:val="24"/>
              </w:rPr>
              <w:t>£m</w:t>
            </w:r>
          </w:p>
          <w:p w:rsidR="009A3AFE" w:rsidRDefault="009A3AFE" w:rsidP="009A3AFE">
            <w:pPr>
              <w:jc w:val="right"/>
              <w:rPr>
                <w:b/>
                <w:szCs w:val="24"/>
              </w:rPr>
            </w:pPr>
          </w:p>
        </w:tc>
      </w:tr>
      <w:tr w:rsidR="009A3AFE" w:rsidRPr="007A07AD" w:rsidTr="009A3AFE">
        <w:tc>
          <w:tcPr>
            <w:tcW w:w="2528" w:type="dxa"/>
          </w:tcPr>
          <w:p w:rsidR="009A3AFE" w:rsidRPr="007A07AD" w:rsidRDefault="009A3AFE" w:rsidP="009A3AFE">
            <w:pPr>
              <w:spacing w:after="120"/>
              <w:rPr>
                <w:szCs w:val="24"/>
              </w:rPr>
            </w:pPr>
            <w:r>
              <w:rPr>
                <w:szCs w:val="24"/>
              </w:rPr>
              <w:t>UK gilt exchange traded</w:t>
            </w:r>
          </w:p>
        </w:tc>
        <w:tc>
          <w:tcPr>
            <w:tcW w:w="2528" w:type="dxa"/>
          </w:tcPr>
          <w:p w:rsidR="009A3AFE" w:rsidRPr="007A07AD" w:rsidRDefault="009A3AFE" w:rsidP="009A3AFE">
            <w:pPr>
              <w:spacing w:after="120"/>
              <w:rPr>
                <w:szCs w:val="24"/>
              </w:rPr>
            </w:pPr>
            <w:r>
              <w:rPr>
                <w:szCs w:val="24"/>
              </w:rPr>
              <w:t>3 months</w:t>
            </w:r>
          </w:p>
        </w:tc>
        <w:tc>
          <w:tcPr>
            <w:tcW w:w="1557" w:type="dxa"/>
          </w:tcPr>
          <w:p w:rsidR="009A3AFE" w:rsidRPr="007A07AD" w:rsidRDefault="009A3AFE" w:rsidP="009A3AFE">
            <w:pPr>
              <w:spacing w:after="120"/>
              <w:jc w:val="right"/>
              <w:rPr>
                <w:szCs w:val="24"/>
              </w:rPr>
            </w:pPr>
            <w:r>
              <w:rPr>
                <w:szCs w:val="24"/>
              </w:rPr>
              <w:t>9.6</w:t>
            </w:r>
          </w:p>
        </w:tc>
        <w:tc>
          <w:tcPr>
            <w:tcW w:w="1558" w:type="dxa"/>
          </w:tcPr>
          <w:p w:rsidR="009A3AFE" w:rsidRPr="007A07AD" w:rsidRDefault="009A3AFE" w:rsidP="009A3AFE">
            <w:pPr>
              <w:spacing w:after="120"/>
              <w:jc w:val="right"/>
              <w:rPr>
                <w:szCs w:val="24"/>
              </w:rPr>
            </w:pPr>
          </w:p>
        </w:tc>
        <w:tc>
          <w:tcPr>
            <w:tcW w:w="430" w:type="dxa"/>
            <w:tcBorders>
              <w:right w:val="single" w:sz="4" w:space="0" w:color="FFFFFF" w:themeColor="background1"/>
            </w:tcBorders>
          </w:tcPr>
          <w:p w:rsidR="009A3AFE" w:rsidRPr="007A07AD" w:rsidRDefault="009A3AFE" w:rsidP="009A3AFE">
            <w:pPr>
              <w:spacing w:after="120"/>
              <w:jc w:val="right"/>
              <w:rPr>
                <w:szCs w:val="24"/>
              </w:rPr>
            </w:pPr>
          </w:p>
        </w:tc>
        <w:tc>
          <w:tcPr>
            <w:tcW w:w="1695" w:type="dxa"/>
            <w:tcBorders>
              <w:left w:val="single" w:sz="4" w:space="0" w:color="FFFFFF" w:themeColor="background1"/>
            </w:tcBorders>
          </w:tcPr>
          <w:p w:rsidR="009A3AFE" w:rsidRPr="007A07AD" w:rsidRDefault="009A3AFE" w:rsidP="009A3AFE">
            <w:pPr>
              <w:spacing w:after="120"/>
              <w:jc w:val="right"/>
              <w:rPr>
                <w:szCs w:val="24"/>
              </w:rPr>
            </w:pPr>
            <w:r>
              <w:rPr>
                <w:szCs w:val="24"/>
              </w:rPr>
              <w:t>-</w:t>
            </w:r>
          </w:p>
        </w:tc>
      </w:tr>
      <w:tr w:rsidR="009A3AFE" w:rsidRPr="007A07AD" w:rsidTr="009A3AFE">
        <w:tc>
          <w:tcPr>
            <w:tcW w:w="2528" w:type="dxa"/>
          </w:tcPr>
          <w:p w:rsidR="009A3AFE" w:rsidRDefault="009A3AFE" w:rsidP="009A3AFE">
            <w:pPr>
              <w:spacing w:after="120"/>
              <w:rPr>
                <w:szCs w:val="24"/>
              </w:rPr>
            </w:pPr>
            <w:r>
              <w:rPr>
                <w:szCs w:val="24"/>
              </w:rPr>
              <w:t>Hang Seng (HKG)</w:t>
            </w:r>
          </w:p>
        </w:tc>
        <w:tc>
          <w:tcPr>
            <w:tcW w:w="2528" w:type="dxa"/>
          </w:tcPr>
          <w:p w:rsidR="009A3AFE" w:rsidRDefault="009A3AFE" w:rsidP="009A3AFE">
            <w:pPr>
              <w:spacing w:after="120"/>
              <w:rPr>
                <w:szCs w:val="24"/>
              </w:rPr>
            </w:pPr>
            <w:r>
              <w:rPr>
                <w:szCs w:val="24"/>
              </w:rPr>
              <w:t>1 month</w:t>
            </w:r>
          </w:p>
        </w:tc>
        <w:tc>
          <w:tcPr>
            <w:tcW w:w="1557" w:type="dxa"/>
          </w:tcPr>
          <w:p w:rsidR="009A3AFE" w:rsidRPr="007A07AD" w:rsidRDefault="009A3AFE" w:rsidP="009A3AFE">
            <w:pPr>
              <w:spacing w:after="120"/>
              <w:jc w:val="right"/>
              <w:rPr>
                <w:szCs w:val="24"/>
              </w:rPr>
            </w:pPr>
            <w:r>
              <w:rPr>
                <w:szCs w:val="24"/>
              </w:rPr>
              <w:t>4.7</w:t>
            </w:r>
          </w:p>
        </w:tc>
        <w:tc>
          <w:tcPr>
            <w:tcW w:w="1558" w:type="dxa"/>
          </w:tcPr>
          <w:p w:rsidR="009A3AFE" w:rsidRPr="007A07AD" w:rsidRDefault="009A3AFE" w:rsidP="009A3AFE">
            <w:pPr>
              <w:spacing w:after="120"/>
              <w:jc w:val="right"/>
              <w:rPr>
                <w:szCs w:val="24"/>
              </w:rPr>
            </w:pPr>
          </w:p>
        </w:tc>
        <w:tc>
          <w:tcPr>
            <w:tcW w:w="430" w:type="dxa"/>
            <w:tcBorders>
              <w:right w:val="single" w:sz="4" w:space="0" w:color="FFFFFF" w:themeColor="background1"/>
            </w:tcBorders>
          </w:tcPr>
          <w:p w:rsidR="009A3AFE" w:rsidRPr="007A07AD" w:rsidRDefault="009A3AFE" w:rsidP="009A3AFE">
            <w:pPr>
              <w:spacing w:after="120"/>
              <w:jc w:val="right"/>
              <w:rPr>
                <w:szCs w:val="24"/>
              </w:rPr>
            </w:pPr>
          </w:p>
        </w:tc>
        <w:tc>
          <w:tcPr>
            <w:tcW w:w="1695" w:type="dxa"/>
            <w:tcBorders>
              <w:left w:val="single" w:sz="4" w:space="0" w:color="FFFFFF" w:themeColor="background1"/>
            </w:tcBorders>
          </w:tcPr>
          <w:p w:rsidR="009A3AFE" w:rsidRPr="007A07AD" w:rsidRDefault="009A3AFE" w:rsidP="009A3AFE">
            <w:pPr>
              <w:spacing w:after="120"/>
              <w:jc w:val="right"/>
              <w:rPr>
                <w:szCs w:val="24"/>
              </w:rPr>
            </w:pPr>
            <w:r>
              <w:rPr>
                <w:szCs w:val="24"/>
              </w:rPr>
              <w:t>0.1</w:t>
            </w:r>
          </w:p>
        </w:tc>
      </w:tr>
      <w:tr w:rsidR="009A3AFE" w:rsidRPr="007A07AD" w:rsidTr="009A3AFE">
        <w:tc>
          <w:tcPr>
            <w:tcW w:w="2528" w:type="dxa"/>
          </w:tcPr>
          <w:p w:rsidR="009A3AFE" w:rsidRDefault="009A3AFE" w:rsidP="009A3AFE">
            <w:pPr>
              <w:spacing w:after="120"/>
              <w:rPr>
                <w:szCs w:val="24"/>
              </w:rPr>
            </w:pPr>
            <w:r>
              <w:rPr>
                <w:szCs w:val="24"/>
              </w:rPr>
              <w:t>MSCI Singapore Index</w:t>
            </w:r>
          </w:p>
        </w:tc>
        <w:tc>
          <w:tcPr>
            <w:tcW w:w="2528" w:type="dxa"/>
          </w:tcPr>
          <w:p w:rsidR="009A3AFE" w:rsidRDefault="009A3AFE" w:rsidP="009A3AFE">
            <w:pPr>
              <w:spacing w:after="120"/>
              <w:rPr>
                <w:szCs w:val="24"/>
              </w:rPr>
            </w:pPr>
            <w:r>
              <w:rPr>
                <w:szCs w:val="24"/>
              </w:rPr>
              <w:t>1 month</w:t>
            </w:r>
          </w:p>
        </w:tc>
        <w:tc>
          <w:tcPr>
            <w:tcW w:w="1557" w:type="dxa"/>
          </w:tcPr>
          <w:p w:rsidR="009A3AFE" w:rsidRPr="007A07AD" w:rsidRDefault="009A3AFE" w:rsidP="009A3AFE">
            <w:pPr>
              <w:spacing w:after="120"/>
              <w:jc w:val="right"/>
              <w:rPr>
                <w:szCs w:val="24"/>
              </w:rPr>
            </w:pPr>
            <w:r>
              <w:rPr>
                <w:szCs w:val="24"/>
              </w:rPr>
              <w:t>4.4</w:t>
            </w:r>
          </w:p>
        </w:tc>
        <w:tc>
          <w:tcPr>
            <w:tcW w:w="1558" w:type="dxa"/>
          </w:tcPr>
          <w:p w:rsidR="009A3AFE" w:rsidRPr="007A07AD" w:rsidRDefault="009A3AFE" w:rsidP="009A3AFE">
            <w:pPr>
              <w:spacing w:after="120"/>
              <w:jc w:val="right"/>
              <w:rPr>
                <w:szCs w:val="24"/>
              </w:rPr>
            </w:pPr>
          </w:p>
        </w:tc>
        <w:tc>
          <w:tcPr>
            <w:tcW w:w="430" w:type="dxa"/>
            <w:tcBorders>
              <w:right w:val="single" w:sz="4" w:space="0" w:color="FFFFFF" w:themeColor="background1"/>
            </w:tcBorders>
          </w:tcPr>
          <w:p w:rsidR="009A3AFE" w:rsidRPr="007A07AD" w:rsidRDefault="009A3AFE" w:rsidP="009A3AFE">
            <w:pPr>
              <w:spacing w:after="120"/>
              <w:jc w:val="right"/>
              <w:rPr>
                <w:szCs w:val="24"/>
              </w:rPr>
            </w:pPr>
          </w:p>
        </w:tc>
        <w:tc>
          <w:tcPr>
            <w:tcW w:w="1695" w:type="dxa"/>
            <w:tcBorders>
              <w:left w:val="single" w:sz="4" w:space="0" w:color="FFFFFF" w:themeColor="background1"/>
            </w:tcBorders>
          </w:tcPr>
          <w:p w:rsidR="009A3AFE" w:rsidRPr="007A07AD" w:rsidRDefault="009A3AFE" w:rsidP="009A3AFE">
            <w:pPr>
              <w:spacing w:after="120"/>
              <w:jc w:val="right"/>
              <w:rPr>
                <w:szCs w:val="24"/>
              </w:rPr>
            </w:pPr>
            <w:r>
              <w:rPr>
                <w:szCs w:val="24"/>
              </w:rPr>
              <w:t>-</w:t>
            </w:r>
          </w:p>
        </w:tc>
      </w:tr>
      <w:tr w:rsidR="009A3AFE" w:rsidRPr="007A07AD" w:rsidTr="009A3AFE">
        <w:tc>
          <w:tcPr>
            <w:tcW w:w="2528" w:type="dxa"/>
          </w:tcPr>
          <w:p w:rsidR="009A3AFE" w:rsidRDefault="009A3AFE" w:rsidP="009A3AFE">
            <w:pPr>
              <w:spacing w:after="120"/>
              <w:rPr>
                <w:szCs w:val="24"/>
              </w:rPr>
            </w:pPr>
            <w:r>
              <w:rPr>
                <w:szCs w:val="24"/>
              </w:rPr>
              <w:t>SPI 200 Index</w:t>
            </w:r>
          </w:p>
        </w:tc>
        <w:tc>
          <w:tcPr>
            <w:tcW w:w="2528" w:type="dxa"/>
          </w:tcPr>
          <w:p w:rsidR="009A3AFE" w:rsidRDefault="009A3AFE" w:rsidP="009A3AFE">
            <w:pPr>
              <w:spacing w:after="120"/>
              <w:rPr>
                <w:szCs w:val="24"/>
              </w:rPr>
            </w:pPr>
            <w:r>
              <w:rPr>
                <w:szCs w:val="24"/>
              </w:rPr>
              <w:t>3 months</w:t>
            </w:r>
          </w:p>
        </w:tc>
        <w:tc>
          <w:tcPr>
            <w:tcW w:w="1557" w:type="dxa"/>
          </w:tcPr>
          <w:p w:rsidR="009A3AFE" w:rsidRDefault="009A3AFE" w:rsidP="009A3AFE">
            <w:pPr>
              <w:spacing w:after="120"/>
              <w:jc w:val="right"/>
              <w:rPr>
                <w:szCs w:val="24"/>
              </w:rPr>
            </w:pPr>
            <w:r>
              <w:rPr>
                <w:szCs w:val="24"/>
              </w:rPr>
              <w:t>12.5</w:t>
            </w:r>
          </w:p>
        </w:tc>
        <w:tc>
          <w:tcPr>
            <w:tcW w:w="1558" w:type="dxa"/>
          </w:tcPr>
          <w:p w:rsidR="009A3AFE" w:rsidRPr="007A07AD" w:rsidRDefault="009A3AFE" w:rsidP="009A3AFE">
            <w:pPr>
              <w:spacing w:after="120"/>
              <w:jc w:val="right"/>
              <w:rPr>
                <w:szCs w:val="24"/>
              </w:rPr>
            </w:pPr>
            <w:r>
              <w:rPr>
                <w:szCs w:val="24"/>
              </w:rPr>
              <w:t>0.3</w:t>
            </w:r>
          </w:p>
        </w:tc>
        <w:tc>
          <w:tcPr>
            <w:tcW w:w="430" w:type="dxa"/>
            <w:tcBorders>
              <w:right w:val="single" w:sz="4" w:space="0" w:color="FFFFFF" w:themeColor="background1"/>
            </w:tcBorders>
          </w:tcPr>
          <w:p w:rsidR="009A3AFE" w:rsidRPr="007A07AD" w:rsidRDefault="009A3AFE" w:rsidP="009A3AFE">
            <w:pPr>
              <w:spacing w:after="120"/>
              <w:jc w:val="right"/>
              <w:rPr>
                <w:szCs w:val="24"/>
              </w:rPr>
            </w:pPr>
          </w:p>
        </w:tc>
        <w:tc>
          <w:tcPr>
            <w:tcW w:w="1695" w:type="dxa"/>
            <w:tcBorders>
              <w:left w:val="single" w:sz="4" w:space="0" w:color="FFFFFF" w:themeColor="background1"/>
            </w:tcBorders>
          </w:tcPr>
          <w:p w:rsidR="009A3AFE" w:rsidRPr="007A07AD" w:rsidRDefault="009A3AFE" w:rsidP="009A3AFE">
            <w:pPr>
              <w:spacing w:after="120"/>
              <w:jc w:val="right"/>
              <w:rPr>
                <w:szCs w:val="24"/>
              </w:rPr>
            </w:pPr>
          </w:p>
        </w:tc>
      </w:tr>
      <w:tr w:rsidR="009A3AFE" w:rsidRPr="007A07AD" w:rsidTr="009A3AFE">
        <w:tc>
          <w:tcPr>
            <w:tcW w:w="2528" w:type="dxa"/>
          </w:tcPr>
          <w:p w:rsidR="009A3AFE" w:rsidRDefault="009A3AFE" w:rsidP="009A3AFE">
            <w:pPr>
              <w:spacing w:after="120"/>
              <w:rPr>
                <w:szCs w:val="24"/>
              </w:rPr>
            </w:pPr>
            <w:r>
              <w:rPr>
                <w:szCs w:val="24"/>
              </w:rPr>
              <w:t>Total</w:t>
            </w:r>
          </w:p>
        </w:tc>
        <w:tc>
          <w:tcPr>
            <w:tcW w:w="2528" w:type="dxa"/>
          </w:tcPr>
          <w:p w:rsidR="009A3AFE" w:rsidRDefault="009A3AFE" w:rsidP="009A3AFE">
            <w:pPr>
              <w:spacing w:after="120"/>
              <w:rPr>
                <w:szCs w:val="24"/>
              </w:rPr>
            </w:pPr>
          </w:p>
        </w:tc>
        <w:tc>
          <w:tcPr>
            <w:tcW w:w="1557" w:type="dxa"/>
          </w:tcPr>
          <w:p w:rsidR="009A3AFE" w:rsidRDefault="009A3AFE" w:rsidP="009A3AFE">
            <w:pPr>
              <w:spacing w:after="120"/>
              <w:jc w:val="right"/>
              <w:rPr>
                <w:szCs w:val="24"/>
              </w:rPr>
            </w:pPr>
          </w:p>
        </w:tc>
        <w:tc>
          <w:tcPr>
            <w:tcW w:w="1558" w:type="dxa"/>
          </w:tcPr>
          <w:p w:rsidR="009A3AFE" w:rsidRPr="00E813BC" w:rsidRDefault="009A3AFE" w:rsidP="009A3AFE">
            <w:pPr>
              <w:spacing w:after="120"/>
              <w:jc w:val="right"/>
              <w:rPr>
                <w:b/>
                <w:szCs w:val="24"/>
              </w:rPr>
            </w:pPr>
            <w:r w:rsidRPr="00E813BC">
              <w:rPr>
                <w:b/>
                <w:szCs w:val="24"/>
              </w:rPr>
              <w:t>0.3</w:t>
            </w:r>
          </w:p>
        </w:tc>
        <w:tc>
          <w:tcPr>
            <w:tcW w:w="430" w:type="dxa"/>
            <w:tcBorders>
              <w:right w:val="single" w:sz="4" w:space="0" w:color="FFFFFF" w:themeColor="background1"/>
            </w:tcBorders>
          </w:tcPr>
          <w:p w:rsidR="009A3AFE" w:rsidRPr="00E813BC" w:rsidRDefault="009A3AFE" w:rsidP="009A3AFE">
            <w:pPr>
              <w:spacing w:after="120"/>
              <w:jc w:val="right"/>
              <w:rPr>
                <w:b/>
                <w:szCs w:val="24"/>
              </w:rPr>
            </w:pPr>
          </w:p>
        </w:tc>
        <w:tc>
          <w:tcPr>
            <w:tcW w:w="1695" w:type="dxa"/>
            <w:tcBorders>
              <w:left w:val="single" w:sz="4" w:space="0" w:color="FFFFFF" w:themeColor="background1"/>
            </w:tcBorders>
          </w:tcPr>
          <w:p w:rsidR="009A3AFE" w:rsidRPr="00E813BC" w:rsidRDefault="009A3AFE" w:rsidP="009A3AFE">
            <w:pPr>
              <w:spacing w:after="120"/>
              <w:jc w:val="right"/>
              <w:rPr>
                <w:b/>
                <w:szCs w:val="24"/>
              </w:rPr>
            </w:pPr>
            <w:r>
              <w:rPr>
                <w:b/>
                <w:szCs w:val="24"/>
              </w:rPr>
              <w:t>0.1</w:t>
            </w:r>
          </w:p>
        </w:tc>
      </w:tr>
    </w:tbl>
    <w:p w:rsidR="009A3AFE" w:rsidRDefault="009A3AFE" w:rsidP="009A3AFE">
      <w:pPr>
        <w:ind w:left="720"/>
        <w:rPr>
          <w:szCs w:val="24"/>
        </w:rPr>
      </w:pPr>
    </w:p>
    <w:p w:rsidR="009A3AFE" w:rsidRDefault="009A3AFE" w:rsidP="009A3AFE">
      <w:pPr>
        <w:ind w:left="720"/>
        <w:rPr>
          <w:szCs w:val="24"/>
        </w:rPr>
      </w:pPr>
      <w:r w:rsidRPr="00166665">
        <w:rPr>
          <w:szCs w:val="24"/>
        </w:rPr>
        <w:t xml:space="preserve">The economic exposure represents the notional value of stock purchased under the futures contract and therefore the value is subject to market movements.  Derivative receipts and payments represent the realised gains and losses on futures contracts.  Derivatives are held to manage economic exposure to markets, enhance </w:t>
      </w:r>
      <w:r>
        <w:rPr>
          <w:szCs w:val="24"/>
        </w:rPr>
        <w:t>i</w:t>
      </w:r>
      <w:r w:rsidRPr="00166665">
        <w:rPr>
          <w:szCs w:val="24"/>
        </w:rPr>
        <w:t>nvestment returns and manage risk.  Futures are used by the Pension Fund's bond manager to reallocate risk and exposures within the bonds portfolio.</w:t>
      </w:r>
    </w:p>
    <w:p w:rsidR="009A3AFE" w:rsidRDefault="009A3AFE" w:rsidP="009A3AFE">
      <w:pPr>
        <w:ind w:left="720"/>
        <w:rPr>
          <w:szCs w:val="24"/>
        </w:rPr>
      </w:pPr>
    </w:p>
    <w:p w:rsidR="009A3AFE" w:rsidRDefault="009A3AFE" w:rsidP="009A3AFE">
      <w:pPr>
        <w:ind w:left="720"/>
        <w:rPr>
          <w:szCs w:val="24"/>
        </w:rPr>
      </w:pPr>
      <w:r w:rsidRPr="00AA58CA">
        <w:rPr>
          <w:b/>
          <w:szCs w:val="24"/>
        </w:rPr>
        <w:lastRenderedPageBreak/>
        <w:t>Derivative contracts (forward currency positions</w:t>
      </w:r>
      <w:r>
        <w:rPr>
          <w:szCs w:val="24"/>
        </w:rPr>
        <w:t>)</w:t>
      </w:r>
    </w:p>
    <w:p w:rsidR="009A3AFE" w:rsidRDefault="009A3AFE" w:rsidP="009A3AFE">
      <w:pPr>
        <w:ind w:left="720"/>
        <w:rPr>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29"/>
        <w:gridCol w:w="2529"/>
        <w:gridCol w:w="1559"/>
        <w:gridCol w:w="430"/>
        <w:gridCol w:w="1696"/>
      </w:tblGrid>
      <w:tr w:rsidR="009A3AFE" w:rsidTr="009A3AFE">
        <w:trPr>
          <w:trHeight w:val="866"/>
        </w:trPr>
        <w:tc>
          <w:tcPr>
            <w:tcW w:w="2529" w:type="dxa"/>
          </w:tcPr>
          <w:p w:rsidR="009A3AFE" w:rsidRDefault="009A3AFE" w:rsidP="009A3AFE">
            <w:pPr>
              <w:rPr>
                <w:b/>
                <w:szCs w:val="24"/>
              </w:rPr>
            </w:pPr>
            <w:r>
              <w:rPr>
                <w:b/>
                <w:szCs w:val="24"/>
              </w:rPr>
              <w:t>Settlement date</w:t>
            </w:r>
          </w:p>
        </w:tc>
        <w:tc>
          <w:tcPr>
            <w:tcW w:w="2529" w:type="dxa"/>
          </w:tcPr>
          <w:p w:rsidR="009A3AFE" w:rsidRDefault="009A3AFE" w:rsidP="009A3AFE">
            <w:pPr>
              <w:jc w:val="right"/>
              <w:rPr>
                <w:b/>
                <w:szCs w:val="24"/>
              </w:rPr>
            </w:pPr>
            <w:r>
              <w:rPr>
                <w:b/>
                <w:szCs w:val="24"/>
              </w:rPr>
              <w:t>Bought</w:t>
            </w:r>
          </w:p>
          <w:p w:rsidR="009A3AFE" w:rsidRDefault="009A3AFE" w:rsidP="009A3AFE">
            <w:pPr>
              <w:jc w:val="right"/>
              <w:rPr>
                <w:b/>
                <w:szCs w:val="24"/>
              </w:rPr>
            </w:pPr>
            <w:r>
              <w:rPr>
                <w:b/>
                <w:szCs w:val="24"/>
              </w:rPr>
              <w:t>£m EQV</w:t>
            </w:r>
          </w:p>
        </w:tc>
        <w:tc>
          <w:tcPr>
            <w:tcW w:w="1559" w:type="dxa"/>
          </w:tcPr>
          <w:p w:rsidR="009A3AFE" w:rsidRDefault="009A3AFE" w:rsidP="009A3AFE">
            <w:pPr>
              <w:jc w:val="right"/>
              <w:rPr>
                <w:b/>
                <w:szCs w:val="24"/>
              </w:rPr>
            </w:pPr>
            <w:r>
              <w:rPr>
                <w:b/>
                <w:szCs w:val="24"/>
              </w:rPr>
              <w:t>Sold</w:t>
            </w:r>
          </w:p>
          <w:p w:rsidR="009A3AFE" w:rsidRDefault="009A3AFE" w:rsidP="009A3AFE">
            <w:pPr>
              <w:jc w:val="right"/>
              <w:rPr>
                <w:b/>
                <w:szCs w:val="24"/>
              </w:rPr>
            </w:pPr>
            <w:r>
              <w:rPr>
                <w:b/>
                <w:szCs w:val="24"/>
              </w:rPr>
              <w:t>£m EQV</w:t>
            </w:r>
          </w:p>
        </w:tc>
        <w:tc>
          <w:tcPr>
            <w:tcW w:w="430" w:type="dxa"/>
            <w:tcBorders>
              <w:right w:val="single" w:sz="4" w:space="0" w:color="FFFFFF" w:themeColor="background1"/>
            </w:tcBorders>
          </w:tcPr>
          <w:p w:rsidR="009A3AFE" w:rsidRDefault="009A3AFE" w:rsidP="009A3AFE">
            <w:pPr>
              <w:jc w:val="right"/>
              <w:rPr>
                <w:b/>
                <w:szCs w:val="24"/>
              </w:rPr>
            </w:pPr>
          </w:p>
          <w:p w:rsidR="009A3AFE" w:rsidRDefault="009A3AFE" w:rsidP="009A3AFE">
            <w:pPr>
              <w:jc w:val="right"/>
              <w:rPr>
                <w:b/>
                <w:szCs w:val="24"/>
              </w:rPr>
            </w:pPr>
          </w:p>
        </w:tc>
        <w:tc>
          <w:tcPr>
            <w:tcW w:w="1696" w:type="dxa"/>
            <w:tcBorders>
              <w:left w:val="single" w:sz="4" w:space="0" w:color="FFFFFF" w:themeColor="background1"/>
            </w:tcBorders>
          </w:tcPr>
          <w:p w:rsidR="009A3AFE" w:rsidRDefault="009A3AFE" w:rsidP="009A3AFE">
            <w:pPr>
              <w:jc w:val="right"/>
              <w:rPr>
                <w:b/>
                <w:szCs w:val="24"/>
              </w:rPr>
            </w:pPr>
          </w:p>
          <w:p w:rsidR="009A3AFE" w:rsidRDefault="009A3AFE" w:rsidP="009A3AFE">
            <w:pPr>
              <w:jc w:val="right"/>
              <w:rPr>
                <w:b/>
                <w:szCs w:val="24"/>
              </w:rPr>
            </w:pPr>
            <w:r>
              <w:rPr>
                <w:b/>
                <w:szCs w:val="24"/>
              </w:rPr>
              <w:t>£m</w:t>
            </w:r>
          </w:p>
          <w:p w:rsidR="009A3AFE" w:rsidRDefault="009A3AFE" w:rsidP="009A3AFE">
            <w:pPr>
              <w:jc w:val="right"/>
              <w:rPr>
                <w:b/>
                <w:szCs w:val="24"/>
              </w:rPr>
            </w:pPr>
          </w:p>
        </w:tc>
      </w:tr>
      <w:tr w:rsidR="009A3AFE" w:rsidRPr="00AA58CA" w:rsidTr="009A3AFE">
        <w:tc>
          <w:tcPr>
            <w:tcW w:w="2529" w:type="dxa"/>
          </w:tcPr>
          <w:p w:rsidR="009A3AFE" w:rsidRPr="00AA58CA" w:rsidRDefault="009A3AFE" w:rsidP="009A3AFE">
            <w:pPr>
              <w:rPr>
                <w:b/>
                <w:szCs w:val="24"/>
              </w:rPr>
            </w:pPr>
            <w:r>
              <w:rPr>
                <w:b/>
                <w:szCs w:val="24"/>
              </w:rPr>
              <w:t>Investment</w:t>
            </w:r>
            <w:r w:rsidRPr="00AA58CA">
              <w:rPr>
                <w:b/>
                <w:szCs w:val="24"/>
              </w:rPr>
              <w:t xml:space="preserve"> assets</w:t>
            </w:r>
          </w:p>
        </w:tc>
        <w:tc>
          <w:tcPr>
            <w:tcW w:w="2529" w:type="dxa"/>
          </w:tcPr>
          <w:p w:rsidR="009A3AFE" w:rsidRPr="00AA58CA" w:rsidRDefault="009A3AFE" w:rsidP="009A3AFE">
            <w:pPr>
              <w:jc w:val="right"/>
              <w:rPr>
                <w:szCs w:val="24"/>
              </w:rPr>
            </w:pPr>
          </w:p>
        </w:tc>
        <w:tc>
          <w:tcPr>
            <w:tcW w:w="1559" w:type="dxa"/>
          </w:tcPr>
          <w:p w:rsidR="009A3AFE" w:rsidRPr="00AA58CA" w:rsidRDefault="009A3AFE" w:rsidP="009A3AFE">
            <w:pPr>
              <w:jc w:val="right"/>
              <w:rPr>
                <w:szCs w:val="24"/>
              </w:rPr>
            </w:pPr>
          </w:p>
        </w:tc>
        <w:tc>
          <w:tcPr>
            <w:tcW w:w="430" w:type="dxa"/>
            <w:tcBorders>
              <w:right w:val="single" w:sz="4" w:space="0" w:color="FFFFFF" w:themeColor="background1"/>
            </w:tcBorders>
          </w:tcPr>
          <w:p w:rsidR="009A3AFE" w:rsidRPr="00AA58CA" w:rsidRDefault="009A3AFE" w:rsidP="009A3AFE">
            <w:pPr>
              <w:jc w:val="right"/>
              <w:rPr>
                <w:szCs w:val="24"/>
              </w:rPr>
            </w:pPr>
          </w:p>
        </w:tc>
        <w:tc>
          <w:tcPr>
            <w:tcW w:w="1696" w:type="dxa"/>
            <w:tcBorders>
              <w:left w:val="single" w:sz="4" w:space="0" w:color="FFFFFF" w:themeColor="background1"/>
            </w:tcBorders>
          </w:tcPr>
          <w:p w:rsidR="009A3AFE" w:rsidRPr="00AA58CA" w:rsidRDefault="009A3AFE" w:rsidP="009A3AFE">
            <w:pPr>
              <w:jc w:val="right"/>
              <w:rPr>
                <w:szCs w:val="24"/>
              </w:rPr>
            </w:pPr>
          </w:p>
        </w:tc>
      </w:tr>
      <w:tr w:rsidR="009A3AFE" w:rsidRPr="00AA58CA" w:rsidTr="009A3AFE">
        <w:tc>
          <w:tcPr>
            <w:tcW w:w="2529" w:type="dxa"/>
          </w:tcPr>
          <w:p w:rsidR="009A3AFE" w:rsidRDefault="009A3AFE" w:rsidP="009A3AFE">
            <w:pPr>
              <w:spacing w:after="120"/>
              <w:rPr>
                <w:szCs w:val="24"/>
              </w:rPr>
            </w:pPr>
            <w:r>
              <w:rPr>
                <w:szCs w:val="24"/>
              </w:rPr>
              <w:t>6 months and under</w:t>
            </w:r>
          </w:p>
        </w:tc>
        <w:tc>
          <w:tcPr>
            <w:tcW w:w="2529" w:type="dxa"/>
          </w:tcPr>
          <w:p w:rsidR="009A3AFE" w:rsidRPr="00AA58CA" w:rsidRDefault="009A3AFE" w:rsidP="009A3AFE">
            <w:pPr>
              <w:spacing w:after="120"/>
              <w:jc w:val="right"/>
              <w:rPr>
                <w:szCs w:val="24"/>
              </w:rPr>
            </w:pPr>
            <w:r>
              <w:rPr>
                <w:szCs w:val="24"/>
              </w:rPr>
              <w:t>108.6</w:t>
            </w:r>
          </w:p>
        </w:tc>
        <w:tc>
          <w:tcPr>
            <w:tcW w:w="1559" w:type="dxa"/>
          </w:tcPr>
          <w:p w:rsidR="009A3AFE" w:rsidRPr="00AA58CA" w:rsidRDefault="009A3AFE" w:rsidP="009A3AFE">
            <w:pPr>
              <w:spacing w:after="120"/>
              <w:jc w:val="right"/>
              <w:rPr>
                <w:szCs w:val="24"/>
              </w:rPr>
            </w:pPr>
            <w:r>
              <w:rPr>
                <w:szCs w:val="24"/>
              </w:rPr>
              <w:t>105.5</w:t>
            </w:r>
          </w:p>
        </w:tc>
        <w:tc>
          <w:tcPr>
            <w:tcW w:w="430" w:type="dxa"/>
            <w:tcBorders>
              <w:right w:val="single" w:sz="4" w:space="0" w:color="FFFFFF" w:themeColor="background1"/>
            </w:tcBorders>
          </w:tcPr>
          <w:p w:rsidR="009A3AFE" w:rsidRPr="00AA58CA" w:rsidRDefault="009A3AFE" w:rsidP="009A3AFE">
            <w:pPr>
              <w:spacing w:after="120"/>
              <w:jc w:val="right"/>
              <w:rPr>
                <w:szCs w:val="24"/>
              </w:rPr>
            </w:pPr>
          </w:p>
        </w:tc>
        <w:tc>
          <w:tcPr>
            <w:tcW w:w="1696" w:type="dxa"/>
            <w:tcBorders>
              <w:left w:val="single" w:sz="4" w:space="0" w:color="FFFFFF" w:themeColor="background1"/>
              <w:bottom w:val="single" w:sz="18" w:space="0" w:color="auto"/>
            </w:tcBorders>
          </w:tcPr>
          <w:p w:rsidR="009A3AFE" w:rsidRPr="00AA58CA" w:rsidRDefault="009A3AFE" w:rsidP="009A3AFE">
            <w:pPr>
              <w:spacing w:after="120"/>
              <w:jc w:val="right"/>
              <w:rPr>
                <w:szCs w:val="24"/>
              </w:rPr>
            </w:pPr>
            <w:r>
              <w:rPr>
                <w:szCs w:val="24"/>
              </w:rPr>
              <w:t>3.1</w:t>
            </w:r>
          </w:p>
        </w:tc>
      </w:tr>
      <w:tr w:rsidR="009A3AFE" w:rsidRPr="00AA58CA" w:rsidTr="009A3A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29" w:type="dxa"/>
            <w:tcBorders>
              <w:top w:val="nil"/>
              <w:left w:val="nil"/>
              <w:bottom w:val="nil"/>
              <w:right w:val="nil"/>
            </w:tcBorders>
          </w:tcPr>
          <w:p w:rsidR="009A3AFE" w:rsidRPr="00AA58CA" w:rsidRDefault="009A3AFE" w:rsidP="009A3AFE">
            <w:pPr>
              <w:rPr>
                <w:b/>
                <w:szCs w:val="24"/>
              </w:rPr>
            </w:pPr>
            <w:r>
              <w:rPr>
                <w:b/>
                <w:szCs w:val="24"/>
              </w:rPr>
              <w:t>Investment</w:t>
            </w:r>
            <w:r w:rsidRPr="00AA58CA">
              <w:rPr>
                <w:b/>
                <w:szCs w:val="24"/>
              </w:rPr>
              <w:t xml:space="preserve"> </w:t>
            </w:r>
            <w:r>
              <w:rPr>
                <w:b/>
                <w:szCs w:val="24"/>
              </w:rPr>
              <w:t>liabilities</w:t>
            </w:r>
          </w:p>
        </w:tc>
        <w:tc>
          <w:tcPr>
            <w:tcW w:w="2529" w:type="dxa"/>
            <w:tcBorders>
              <w:top w:val="nil"/>
              <w:left w:val="nil"/>
              <w:bottom w:val="nil"/>
              <w:right w:val="nil"/>
            </w:tcBorders>
          </w:tcPr>
          <w:p w:rsidR="009A3AFE" w:rsidRPr="00AA58CA" w:rsidRDefault="009A3AFE" w:rsidP="009A3AFE">
            <w:pPr>
              <w:jc w:val="right"/>
              <w:rPr>
                <w:szCs w:val="24"/>
              </w:rPr>
            </w:pPr>
          </w:p>
        </w:tc>
        <w:tc>
          <w:tcPr>
            <w:tcW w:w="1559" w:type="dxa"/>
            <w:tcBorders>
              <w:top w:val="nil"/>
              <w:left w:val="nil"/>
              <w:bottom w:val="nil"/>
              <w:right w:val="nil"/>
            </w:tcBorders>
          </w:tcPr>
          <w:p w:rsidR="009A3AFE" w:rsidRPr="00AA58CA" w:rsidRDefault="009A3AFE" w:rsidP="009A3AFE">
            <w:pPr>
              <w:jc w:val="right"/>
              <w:rPr>
                <w:szCs w:val="24"/>
              </w:rPr>
            </w:pPr>
          </w:p>
        </w:tc>
        <w:tc>
          <w:tcPr>
            <w:tcW w:w="430" w:type="dxa"/>
            <w:tcBorders>
              <w:top w:val="nil"/>
              <w:left w:val="nil"/>
              <w:bottom w:val="nil"/>
              <w:right w:val="nil"/>
            </w:tcBorders>
          </w:tcPr>
          <w:p w:rsidR="009A3AFE" w:rsidRPr="00AA58CA" w:rsidRDefault="009A3AFE" w:rsidP="009A3AFE">
            <w:pPr>
              <w:jc w:val="right"/>
              <w:rPr>
                <w:szCs w:val="24"/>
              </w:rPr>
            </w:pPr>
          </w:p>
        </w:tc>
        <w:tc>
          <w:tcPr>
            <w:tcW w:w="1696" w:type="dxa"/>
            <w:tcBorders>
              <w:top w:val="single" w:sz="18" w:space="0" w:color="auto"/>
              <w:left w:val="nil"/>
              <w:bottom w:val="nil"/>
              <w:right w:val="nil"/>
            </w:tcBorders>
          </w:tcPr>
          <w:p w:rsidR="009A3AFE" w:rsidRPr="00AA58CA" w:rsidRDefault="009A3AFE" w:rsidP="009A3AFE">
            <w:pPr>
              <w:jc w:val="right"/>
              <w:rPr>
                <w:szCs w:val="24"/>
              </w:rPr>
            </w:pPr>
          </w:p>
        </w:tc>
      </w:tr>
      <w:tr w:rsidR="009A3AFE" w:rsidRPr="00AA58CA" w:rsidTr="009A3A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29" w:type="dxa"/>
            <w:tcBorders>
              <w:top w:val="nil"/>
              <w:left w:val="nil"/>
              <w:bottom w:val="nil"/>
              <w:right w:val="nil"/>
            </w:tcBorders>
          </w:tcPr>
          <w:p w:rsidR="009A3AFE" w:rsidRDefault="009A3AFE" w:rsidP="009A3AFE">
            <w:pPr>
              <w:rPr>
                <w:szCs w:val="24"/>
              </w:rPr>
            </w:pPr>
            <w:r>
              <w:rPr>
                <w:szCs w:val="24"/>
              </w:rPr>
              <w:t>6 months and under</w:t>
            </w:r>
          </w:p>
        </w:tc>
        <w:tc>
          <w:tcPr>
            <w:tcW w:w="2529" w:type="dxa"/>
            <w:tcBorders>
              <w:top w:val="nil"/>
              <w:left w:val="nil"/>
              <w:bottom w:val="nil"/>
              <w:right w:val="nil"/>
            </w:tcBorders>
          </w:tcPr>
          <w:p w:rsidR="009A3AFE" w:rsidRPr="00AA58CA" w:rsidRDefault="009A3AFE" w:rsidP="009A3AFE">
            <w:pPr>
              <w:jc w:val="right"/>
              <w:rPr>
                <w:szCs w:val="24"/>
              </w:rPr>
            </w:pPr>
            <w:r>
              <w:rPr>
                <w:szCs w:val="24"/>
              </w:rPr>
              <w:t>58.2</w:t>
            </w:r>
          </w:p>
        </w:tc>
        <w:tc>
          <w:tcPr>
            <w:tcW w:w="1559" w:type="dxa"/>
            <w:tcBorders>
              <w:top w:val="nil"/>
              <w:left w:val="nil"/>
              <w:bottom w:val="nil"/>
              <w:right w:val="nil"/>
            </w:tcBorders>
          </w:tcPr>
          <w:p w:rsidR="009A3AFE" w:rsidRPr="00AA58CA" w:rsidRDefault="009A3AFE" w:rsidP="009A3AFE">
            <w:pPr>
              <w:jc w:val="right"/>
              <w:rPr>
                <w:szCs w:val="24"/>
              </w:rPr>
            </w:pPr>
            <w:r>
              <w:rPr>
                <w:szCs w:val="24"/>
              </w:rPr>
              <w:t>59.7</w:t>
            </w:r>
          </w:p>
        </w:tc>
        <w:tc>
          <w:tcPr>
            <w:tcW w:w="430" w:type="dxa"/>
            <w:tcBorders>
              <w:top w:val="nil"/>
              <w:left w:val="nil"/>
              <w:bottom w:val="nil"/>
              <w:right w:val="nil"/>
            </w:tcBorders>
          </w:tcPr>
          <w:p w:rsidR="009A3AFE" w:rsidRPr="00AA58CA" w:rsidRDefault="009A3AFE" w:rsidP="009A3AFE">
            <w:pPr>
              <w:jc w:val="right"/>
              <w:rPr>
                <w:szCs w:val="24"/>
              </w:rPr>
            </w:pPr>
          </w:p>
        </w:tc>
        <w:tc>
          <w:tcPr>
            <w:tcW w:w="1696" w:type="dxa"/>
            <w:tcBorders>
              <w:top w:val="nil"/>
              <w:left w:val="nil"/>
              <w:bottom w:val="single" w:sz="18" w:space="0" w:color="auto"/>
              <w:right w:val="nil"/>
            </w:tcBorders>
          </w:tcPr>
          <w:p w:rsidR="009A3AFE" w:rsidRPr="00AA58CA" w:rsidRDefault="009A3AFE" w:rsidP="009A3AFE">
            <w:pPr>
              <w:jc w:val="right"/>
              <w:rPr>
                <w:szCs w:val="24"/>
              </w:rPr>
            </w:pPr>
            <w:r>
              <w:rPr>
                <w:szCs w:val="24"/>
              </w:rPr>
              <w:t>(1.5)</w:t>
            </w:r>
          </w:p>
        </w:tc>
      </w:tr>
    </w:tbl>
    <w:p w:rsidR="009A3AFE" w:rsidRPr="00166665" w:rsidRDefault="009A3AFE" w:rsidP="009A3AFE">
      <w:pPr>
        <w:ind w:left="720"/>
        <w:rPr>
          <w:szCs w:val="24"/>
        </w:rPr>
      </w:pPr>
    </w:p>
    <w:p w:rsidR="009A3AFE" w:rsidRDefault="009A3AFE" w:rsidP="009A3AFE">
      <w:pPr>
        <w:spacing w:after="240"/>
        <w:ind w:left="720"/>
        <w:rPr>
          <w:szCs w:val="24"/>
        </w:rPr>
      </w:pPr>
      <w:r w:rsidRPr="00166665">
        <w:rPr>
          <w:szCs w:val="24"/>
        </w:rPr>
        <w:t>Forward Foreign currency contracts are used to hedge against foreign currency movements.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9A3AFE" w:rsidTr="009A3AFE">
        <w:tc>
          <w:tcPr>
            <w:tcW w:w="5058" w:type="dxa"/>
          </w:tcPr>
          <w:p w:rsidR="009A3AFE" w:rsidRDefault="009A3AFE" w:rsidP="009A3AFE">
            <w:pPr>
              <w:rPr>
                <w:b/>
                <w:szCs w:val="24"/>
              </w:rPr>
            </w:pPr>
          </w:p>
        </w:tc>
        <w:tc>
          <w:tcPr>
            <w:tcW w:w="1559" w:type="dxa"/>
          </w:tcPr>
          <w:p w:rsidR="009A3AFE" w:rsidRDefault="009A3AFE" w:rsidP="009A3AFE">
            <w:pPr>
              <w:jc w:val="right"/>
              <w:rPr>
                <w:b/>
                <w:szCs w:val="24"/>
              </w:rPr>
            </w:pPr>
            <w:r>
              <w:rPr>
                <w:b/>
                <w:szCs w:val="24"/>
              </w:rPr>
              <w:t>2011/12</w:t>
            </w:r>
          </w:p>
          <w:p w:rsidR="009A3AFE" w:rsidRDefault="009A3AFE" w:rsidP="009A3AFE">
            <w:pPr>
              <w:jc w:val="right"/>
              <w:rPr>
                <w:b/>
                <w:szCs w:val="24"/>
              </w:rPr>
            </w:pPr>
            <w:r>
              <w:rPr>
                <w:b/>
                <w:szCs w:val="24"/>
              </w:rPr>
              <w:t>£m</w:t>
            </w:r>
          </w:p>
        </w:tc>
        <w:tc>
          <w:tcPr>
            <w:tcW w:w="430" w:type="dxa"/>
            <w:tcBorders>
              <w:right w:val="single" w:sz="4" w:space="0" w:color="FFFFFF" w:themeColor="background1"/>
            </w:tcBorders>
          </w:tcPr>
          <w:p w:rsidR="009A3AFE" w:rsidRDefault="009A3AFE" w:rsidP="009A3AFE">
            <w:pPr>
              <w:jc w:val="right"/>
              <w:rPr>
                <w:b/>
                <w:szCs w:val="24"/>
              </w:rPr>
            </w:pPr>
          </w:p>
          <w:p w:rsidR="009A3AFE" w:rsidRDefault="009A3AFE" w:rsidP="009A3AFE">
            <w:pPr>
              <w:jc w:val="right"/>
              <w:rPr>
                <w:b/>
                <w:szCs w:val="24"/>
              </w:rPr>
            </w:pPr>
          </w:p>
        </w:tc>
        <w:tc>
          <w:tcPr>
            <w:tcW w:w="1696" w:type="dxa"/>
            <w:tcBorders>
              <w:left w:val="single" w:sz="4" w:space="0" w:color="FFFFFF" w:themeColor="background1"/>
            </w:tcBorders>
          </w:tcPr>
          <w:p w:rsidR="009A3AFE" w:rsidRDefault="009A3AFE" w:rsidP="009A3AFE">
            <w:pPr>
              <w:jc w:val="right"/>
              <w:rPr>
                <w:b/>
                <w:szCs w:val="24"/>
              </w:rPr>
            </w:pPr>
            <w:r>
              <w:rPr>
                <w:b/>
                <w:szCs w:val="24"/>
              </w:rPr>
              <w:t>2010/11</w:t>
            </w:r>
          </w:p>
          <w:p w:rsidR="009A3AFE" w:rsidRDefault="009A3AFE" w:rsidP="009A3AFE">
            <w:pPr>
              <w:jc w:val="right"/>
              <w:rPr>
                <w:b/>
                <w:szCs w:val="24"/>
              </w:rPr>
            </w:pPr>
            <w:r>
              <w:rPr>
                <w:b/>
                <w:szCs w:val="24"/>
              </w:rPr>
              <w:t>£m</w:t>
            </w:r>
          </w:p>
          <w:p w:rsidR="009A3AFE" w:rsidRDefault="009A3AFE" w:rsidP="009A3AFE">
            <w:pPr>
              <w:jc w:val="right"/>
              <w:rPr>
                <w:b/>
                <w:szCs w:val="24"/>
              </w:rPr>
            </w:pPr>
          </w:p>
        </w:tc>
      </w:tr>
      <w:tr w:rsidR="009A3AFE" w:rsidRPr="007A07AD" w:rsidTr="009A3AFE">
        <w:tc>
          <w:tcPr>
            <w:tcW w:w="5058" w:type="dxa"/>
          </w:tcPr>
          <w:p w:rsidR="009A3AFE" w:rsidRPr="00AA58CA" w:rsidRDefault="009A3AFE" w:rsidP="009A3AFE">
            <w:pPr>
              <w:rPr>
                <w:b/>
                <w:szCs w:val="24"/>
              </w:rPr>
            </w:pPr>
            <w:r w:rsidRPr="00AA58CA">
              <w:rPr>
                <w:b/>
                <w:szCs w:val="24"/>
              </w:rPr>
              <w:t>Cash Deposits</w:t>
            </w:r>
          </w:p>
        </w:tc>
        <w:tc>
          <w:tcPr>
            <w:tcW w:w="1559" w:type="dxa"/>
          </w:tcPr>
          <w:p w:rsidR="009A3AFE" w:rsidRPr="007A07AD" w:rsidRDefault="009A3AFE" w:rsidP="009A3AFE">
            <w:pPr>
              <w:jc w:val="right"/>
              <w:rPr>
                <w:szCs w:val="24"/>
              </w:rPr>
            </w:pP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p>
        </w:tc>
      </w:tr>
      <w:tr w:rsidR="009A3AFE" w:rsidRPr="007A07AD" w:rsidTr="009A3AFE">
        <w:tc>
          <w:tcPr>
            <w:tcW w:w="5058" w:type="dxa"/>
          </w:tcPr>
          <w:p w:rsidR="009A3AFE" w:rsidRDefault="009A3AFE" w:rsidP="009A3AFE">
            <w:pPr>
              <w:rPr>
                <w:szCs w:val="24"/>
              </w:rPr>
            </w:pPr>
            <w:r>
              <w:rPr>
                <w:szCs w:val="24"/>
              </w:rPr>
              <w:t>Sterling</w:t>
            </w:r>
          </w:p>
        </w:tc>
        <w:tc>
          <w:tcPr>
            <w:tcW w:w="1559" w:type="dxa"/>
          </w:tcPr>
          <w:p w:rsidR="009A3AFE" w:rsidRPr="007A07AD" w:rsidRDefault="009A3AFE" w:rsidP="009A3AFE">
            <w:pPr>
              <w:jc w:val="right"/>
              <w:rPr>
                <w:szCs w:val="24"/>
              </w:rPr>
            </w:pPr>
            <w:r>
              <w:rPr>
                <w:szCs w:val="24"/>
              </w:rPr>
              <w:t>110.9</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r>
              <w:rPr>
                <w:szCs w:val="24"/>
              </w:rPr>
              <w:t>33.5</w:t>
            </w:r>
          </w:p>
        </w:tc>
      </w:tr>
      <w:tr w:rsidR="009A3AFE" w:rsidRPr="007A07AD" w:rsidTr="009A3AFE">
        <w:tc>
          <w:tcPr>
            <w:tcW w:w="5058" w:type="dxa"/>
          </w:tcPr>
          <w:p w:rsidR="009A3AFE" w:rsidRDefault="009A3AFE" w:rsidP="009A3AFE">
            <w:pPr>
              <w:rPr>
                <w:szCs w:val="24"/>
              </w:rPr>
            </w:pPr>
            <w:r>
              <w:rPr>
                <w:szCs w:val="24"/>
              </w:rPr>
              <w:t>Foreign currency</w:t>
            </w:r>
          </w:p>
        </w:tc>
        <w:tc>
          <w:tcPr>
            <w:tcW w:w="1559" w:type="dxa"/>
            <w:tcBorders>
              <w:bottom w:val="single" w:sz="18" w:space="0" w:color="auto"/>
            </w:tcBorders>
          </w:tcPr>
          <w:p w:rsidR="009A3AFE" w:rsidRPr="007A07AD" w:rsidRDefault="009A3AFE" w:rsidP="009A3AFE">
            <w:pPr>
              <w:jc w:val="right"/>
              <w:rPr>
                <w:szCs w:val="24"/>
              </w:rPr>
            </w:pPr>
            <w:r>
              <w:rPr>
                <w:szCs w:val="24"/>
              </w:rPr>
              <w:t>15.9</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bottom w:val="single" w:sz="18" w:space="0" w:color="auto"/>
            </w:tcBorders>
          </w:tcPr>
          <w:p w:rsidR="009A3AFE" w:rsidRDefault="009A3AFE" w:rsidP="009A3AFE">
            <w:pPr>
              <w:jc w:val="right"/>
              <w:rPr>
                <w:szCs w:val="24"/>
              </w:rPr>
            </w:pPr>
            <w:r>
              <w:rPr>
                <w:szCs w:val="24"/>
              </w:rPr>
              <w:t>3.1</w:t>
            </w:r>
          </w:p>
        </w:tc>
      </w:tr>
      <w:tr w:rsidR="009A3AFE" w:rsidRPr="007A07AD" w:rsidTr="009A3AFE">
        <w:tc>
          <w:tcPr>
            <w:tcW w:w="5058" w:type="dxa"/>
          </w:tcPr>
          <w:p w:rsidR="009A3AFE" w:rsidRDefault="009A3AFE" w:rsidP="009A3AFE">
            <w:pPr>
              <w:rPr>
                <w:szCs w:val="24"/>
              </w:rPr>
            </w:pPr>
          </w:p>
        </w:tc>
        <w:tc>
          <w:tcPr>
            <w:tcW w:w="1559" w:type="dxa"/>
            <w:tcBorders>
              <w:top w:val="single" w:sz="18" w:space="0" w:color="auto"/>
              <w:bottom w:val="single" w:sz="18" w:space="0" w:color="auto"/>
            </w:tcBorders>
          </w:tcPr>
          <w:p w:rsidR="009A3AFE" w:rsidRPr="007A07AD" w:rsidRDefault="009A3AFE" w:rsidP="009A3AFE">
            <w:pPr>
              <w:jc w:val="right"/>
              <w:rPr>
                <w:szCs w:val="24"/>
              </w:rPr>
            </w:pPr>
            <w:r>
              <w:rPr>
                <w:szCs w:val="24"/>
              </w:rPr>
              <w:t>126.8</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top w:val="single" w:sz="18" w:space="0" w:color="auto"/>
              <w:left w:val="single" w:sz="4" w:space="0" w:color="FFFFFF" w:themeColor="background1"/>
              <w:bottom w:val="single" w:sz="18" w:space="0" w:color="auto"/>
            </w:tcBorders>
          </w:tcPr>
          <w:p w:rsidR="009A3AFE" w:rsidRDefault="009A3AFE" w:rsidP="009A3AFE">
            <w:pPr>
              <w:jc w:val="right"/>
              <w:rPr>
                <w:szCs w:val="24"/>
              </w:rPr>
            </w:pPr>
            <w:r>
              <w:rPr>
                <w:szCs w:val="24"/>
              </w:rPr>
              <w:t>36.6</w:t>
            </w:r>
          </w:p>
        </w:tc>
      </w:tr>
    </w:tbl>
    <w:p w:rsidR="009A3AFE" w:rsidRDefault="009A3AFE" w:rsidP="009A3AFE">
      <w:pPr>
        <w:pStyle w:val="ListParagraph"/>
        <w:spacing w:after="120"/>
        <w:jc w:val="both"/>
        <w:rPr>
          <w:b/>
        </w:rPr>
      </w:pPr>
    </w:p>
    <w:p w:rsidR="009A3AFE" w:rsidRDefault="009A3AFE" w:rsidP="009A3AFE">
      <w:pPr>
        <w:pStyle w:val="ListParagraph"/>
        <w:numPr>
          <w:ilvl w:val="0"/>
          <w:numId w:val="2"/>
        </w:numPr>
        <w:spacing w:after="120"/>
        <w:jc w:val="both"/>
        <w:rPr>
          <w:b/>
        </w:rPr>
      </w:pPr>
      <w:r w:rsidRPr="009B3187">
        <w:rPr>
          <w:b/>
        </w:rPr>
        <w:t>Financial Instruments classification</w:t>
      </w:r>
    </w:p>
    <w:p w:rsidR="009A3AFE" w:rsidRDefault="009A3AFE" w:rsidP="009A3AFE">
      <w:pPr>
        <w:pStyle w:val="ListParagraph"/>
        <w:spacing w:after="120"/>
        <w:jc w:val="both"/>
        <w:rPr>
          <w:b/>
        </w:rPr>
      </w:pPr>
    </w:p>
    <w:p w:rsidR="009A3AFE" w:rsidRDefault="009A3AFE" w:rsidP="009A3AFE">
      <w:pPr>
        <w:pStyle w:val="ListParagraph"/>
        <w:rPr>
          <w:sz w:val="20"/>
        </w:rPr>
      </w:pPr>
      <w:r w:rsidRPr="00AA58CA">
        <w:t>Accounting policy describes how different asset classes of financial instruments are measured, and how income and expenses, including fair value gains and losses are recognised.  The following table analyses the carrying amounts of financial assets and liabilities by category and net asset statement heading.</w:t>
      </w:r>
      <w:r w:rsidRPr="00AA58CA">
        <w:rPr>
          <w:sz w:val="20"/>
        </w:rPr>
        <w:t xml:space="preserve"> </w:t>
      </w:r>
    </w:p>
    <w:p w:rsidR="009A3AFE" w:rsidRPr="00AA58CA" w:rsidRDefault="009A3AFE" w:rsidP="009A3AFE">
      <w:pPr>
        <w:pStyle w:val="ListParagraph"/>
        <w:rPr>
          <w:sz w:val="20"/>
        </w:rPr>
      </w:pPr>
    </w:p>
    <w:tbl>
      <w:tblPr>
        <w:tblStyle w:val="TableGrid"/>
        <w:tblW w:w="10749"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7"/>
        <w:gridCol w:w="1017"/>
        <w:gridCol w:w="1343"/>
        <w:gridCol w:w="817"/>
        <w:gridCol w:w="1405"/>
        <w:gridCol w:w="550"/>
        <w:gridCol w:w="1270"/>
        <w:gridCol w:w="550"/>
      </w:tblGrid>
      <w:tr w:rsidR="009A3AFE" w:rsidTr="009A3AFE">
        <w:trPr>
          <w:gridAfter w:val="1"/>
          <w:wAfter w:w="550" w:type="dxa"/>
        </w:trPr>
        <w:tc>
          <w:tcPr>
            <w:tcW w:w="3797" w:type="dxa"/>
          </w:tcPr>
          <w:p w:rsidR="009A3AFE" w:rsidRDefault="009A3AFE" w:rsidP="009A3AFE">
            <w:pPr>
              <w:rPr>
                <w:b/>
              </w:rPr>
            </w:pPr>
            <w:r>
              <w:rPr>
                <w:b/>
              </w:rPr>
              <w:t>2012</w:t>
            </w:r>
          </w:p>
        </w:tc>
        <w:tc>
          <w:tcPr>
            <w:tcW w:w="2360" w:type="dxa"/>
            <w:gridSpan w:val="2"/>
          </w:tcPr>
          <w:p w:rsidR="009A3AFE" w:rsidRDefault="009A3AFE" w:rsidP="009A3AFE">
            <w:pPr>
              <w:spacing w:after="120"/>
              <w:jc w:val="right"/>
              <w:rPr>
                <w:b/>
              </w:rPr>
            </w:pPr>
            <w:r>
              <w:rPr>
                <w:b/>
              </w:rPr>
              <w:t>Designated at fair value through profit or loss</w:t>
            </w:r>
          </w:p>
        </w:tc>
        <w:tc>
          <w:tcPr>
            <w:tcW w:w="2222" w:type="dxa"/>
            <w:gridSpan w:val="2"/>
          </w:tcPr>
          <w:p w:rsidR="009A3AFE" w:rsidRDefault="009A3AFE" w:rsidP="009A3AFE">
            <w:pPr>
              <w:jc w:val="right"/>
              <w:rPr>
                <w:b/>
              </w:rPr>
            </w:pPr>
            <w:r>
              <w:rPr>
                <w:b/>
              </w:rPr>
              <w:t>Loans and receivables</w:t>
            </w:r>
          </w:p>
        </w:tc>
        <w:tc>
          <w:tcPr>
            <w:tcW w:w="1820" w:type="dxa"/>
            <w:gridSpan w:val="2"/>
          </w:tcPr>
          <w:p w:rsidR="009A3AFE" w:rsidRDefault="009A3AFE" w:rsidP="009A3AFE">
            <w:pPr>
              <w:jc w:val="right"/>
              <w:rPr>
                <w:b/>
              </w:rPr>
            </w:pPr>
            <w:r>
              <w:rPr>
                <w:b/>
              </w:rPr>
              <w:t>Financial liabilities at amortised cost</w:t>
            </w:r>
          </w:p>
        </w:tc>
      </w:tr>
      <w:tr w:rsidR="009A3AFE" w:rsidTr="009A3AFE">
        <w:trPr>
          <w:gridAfter w:val="1"/>
          <w:wAfter w:w="550" w:type="dxa"/>
        </w:trPr>
        <w:tc>
          <w:tcPr>
            <w:tcW w:w="3797" w:type="dxa"/>
          </w:tcPr>
          <w:p w:rsidR="009A3AFE" w:rsidRDefault="009A3AFE" w:rsidP="009A3AFE">
            <w:pPr>
              <w:jc w:val="both"/>
              <w:rPr>
                <w:b/>
              </w:rPr>
            </w:pPr>
          </w:p>
        </w:tc>
        <w:tc>
          <w:tcPr>
            <w:tcW w:w="2360" w:type="dxa"/>
            <w:gridSpan w:val="2"/>
          </w:tcPr>
          <w:p w:rsidR="009A3AFE" w:rsidRDefault="009A3AFE" w:rsidP="009A3AFE">
            <w:pPr>
              <w:jc w:val="right"/>
              <w:rPr>
                <w:b/>
              </w:rPr>
            </w:pPr>
            <w:r>
              <w:rPr>
                <w:b/>
              </w:rPr>
              <w:t>£m</w:t>
            </w:r>
          </w:p>
        </w:tc>
        <w:tc>
          <w:tcPr>
            <w:tcW w:w="2222" w:type="dxa"/>
            <w:gridSpan w:val="2"/>
          </w:tcPr>
          <w:p w:rsidR="009A3AFE" w:rsidRDefault="009A3AFE" w:rsidP="009A3AFE">
            <w:pPr>
              <w:jc w:val="right"/>
              <w:rPr>
                <w:b/>
              </w:rPr>
            </w:pPr>
            <w:r>
              <w:rPr>
                <w:b/>
              </w:rPr>
              <w:t>£m</w:t>
            </w:r>
          </w:p>
        </w:tc>
        <w:tc>
          <w:tcPr>
            <w:tcW w:w="1820" w:type="dxa"/>
            <w:gridSpan w:val="2"/>
          </w:tcPr>
          <w:p w:rsidR="009A3AFE" w:rsidRDefault="009A3AFE" w:rsidP="009A3AFE">
            <w:pPr>
              <w:jc w:val="right"/>
              <w:rPr>
                <w:b/>
              </w:rPr>
            </w:pPr>
            <w:r>
              <w:rPr>
                <w:b/>
              </w:rPr>
              <w:t>£m</w:t>
            </w:r>
          </w:p>
        </w:tc>
      </w:tr>
      <w:tr w:rsidR="009A3AFE" w:rsidRPr="00AA58CA" w:rsidTr="009A3AFE">
        <w:trPr>
          <w:gridAfter w:val="1"/>
          <w:wAfter w:w="550" w:type="dxa"/>
        </w:trPr>
        <w:tc>
          <w:tcPr>
            <w:tcW w:w="3797" w:type="dxa"/>
          </w:tcPr>
          <w:p w:rsidR="009A3AFE" w:rsidRPr="00EB2694" w:rsidRDefault="009A3AFE" w:rsidP="009A3AFE">
            <w:pPr>
              <w:jc w:val="both"/>
              <w:rPr>
                <w:b/>
              </w:rPr>
            </w:pPr>
            <w:r w:rsidRPr="00EB2694">
              <w:rPr>
                <w:b/>
              </w:rPr>
              <w:t>Financial assets</w:t>
            </w:r>
          </w:p>
        </w:tc>
        <w:tc>
          <w:tcPr>
            <w:tcW w:w="1017" w:type="dxa"/>
            <w:tcBorders>
              <w:right w:val="single" w:sz="18" w:space="0" w:color="FFFFFF" w:themeColor="background1"/>
            </w:tcBorders>
          </w:tcPr>
          <w:p w:rsidR="009A3AFE" w:rsidRPr="00AA58CA" w:rsidRDefault="009A3AFE" w:rsidP="009A3AFE">
            <w:pPr>
              <w:jc w:val="right"/>
            </w:pPr>
          </w:p>
        </w:tc>
        <w:tc>
          <w:tcPr>
            <w:tcW w:w="1343" w:type="dxa"/>
            <w:tcBorders>
              <w:left w:val="single" w:sz="18" w:space="0" w:color="FFFFFF" w:themeColor="background1"/>
            </w:tcBorders>
          </w:tcPr>
          <w:p w:rsidR="009A3AFE" w:rsidRPr="00AA58CA" w:rsidRDefault="009A3AFE" w:rsidP="009A3AFE">
            <w:pPr>
              <w:jc w:val="right"/>
            </w:pPr>
          </w:p>
        </w:tc>
        <w:tc>
          <w:tcPr>
            <w:tcW w:w="817" w:type="dxa"/>
            <w:tcBorders>
              <w:right w:val="single" w:sz="18" w:space="0" w:color="FFFFFF" w:themeColor="background1"/>
            </w:tcBorders>
          </w:tcPr>
          <w:p w:rsidR="009A3AFE" w:rsidRPr="00AA58CA" w:rsidRDefault="009A3AFE" w:rsidP="009A3AFE">
            <w:pPr>
              <w:jc w:val="right"/>
            </w:pPr>
          </w:p>
        </w:tc>
        <w:tc>
          <w:tcPr>
            <w:tcW w:w="1405" w:type="dxa"/>
            <w:tcBorders>
              <w:left w:val="single" w:sz="18" w:space="0" w:color="FFFFFF" w:themeColor="background1"/>
            </w:tcBorders>
          </w:tcPr>
          <w:p w:rsidR="009A3AFE" w:rsidRPr="00AA58CA" w:rsidRDefault="009A3AFE" w:rsidP="009A3AFE">
            <w:pPr>
              <w:jc w:val="right"/>
            </w:pPr>
          </w:p>
        </w:tc>
        <w:tc>
          <w:tcPr>
            <w:tcW w:w="550" w:type="dxa"/>
            <w:tcBorders>
              <w:right w:val="single" w:sz="18" w:space="0" w:color="FFFFFF" w:themeColor="background1"/>
            </w:tcBorders>
          </w:tcPr>
          <w:p w:rsidR="009A3AFE" w:rsidRPr="00AA58CA" w:rsidRDefault="009A3AFE" w:rsidP="009A3AFE">
            <w:pPr>
              <w:jc w:val="right"/>
            </w:pPr>
          </w:p>
        </w:tc>
        <w:tc>
          <w:tcPr>
            <w:tcW w:w="1270" w:type="dxa"/>
            <w:tcBorders>
              <w:left w:val="single" w:sz="18" w:space="0" w:color="FFFFFF" w:themeColor="background1"/>
            </w:tcBorders>
          </w:tcPr>
          <w:p w:rsidR="009A3AFE" w:rsidRPr="00AA58CA" w:rsidRDefault="009A3AFE" w:rsidP="009A3AFE">
            <w:pPr>
              <w:jc w:val="right"/>
            </w:pPr>
          </w:p>
        </w:tc>
      </w:tr>
      <w:tr w:rsidR="009A3AFE" w:rsidRPr="00AA58CA" w:rsidTr="009A3AFE">
        <w:trPr>
          <w:gridAfter w:val="1"/>
          <w:wAfter w:w="550" w:type="dxa"/>
        </w:trPr>
        <w:tc>
          <w:tcPr>
            <w:tcW w:w="3797" w:type="dxa"/>
          </w:tcPr>
          <w:p w:rsidR="009A3AFE" w:rsidRDefault="009A3AFE" w:rsidP="009A3AFE">
            <w:pPr>
              <w:jc w:val="both"/>
            </w:pPr>
            <w:r>
              <w:t>Fixed interest securities</w:t>
            </w:r>
          </w:p>
        </w:tc>
        <w:tc>
          <w:tcPr>
            <w:tcW w:w="1017" w:type="dxa"/>
            <w:tcBorders>
              <w:right w:val="single" w:sz="18" w:space="0" w:color="FFFFFF" w:themeColor="background1"/>
            </w:tcBorders>
          </w:tcPr>
          <w:p w:rsidR="009A3AFE" w:rsidRPr="00AA58CA" w:rsidRDefault="009A3AFE" w:rsidP="009A3AFE">
            <w:pPr>
              <w:jc w:val="right"/>
            </w:pPr>
          </w:p>
        </w:tc>
        <w:tc>
          <w:tcPr>
            <w:tcW w:w="1343" w:type="dxa"/>
            <w:tcBorders>
              <w:left w:val="single" w:sz="18" w:space="0" w:color="FFFFFF" w:themeColor="background1"/>
            </w:tcBorders>
          </w:tcPr>
          <w:p w:rsidR="009A3AFE" w:rsidRPr="00AA58CA" w:rsidRDefault="009A3AFE" w:rsidP="009A3AFE">
            <w:pPr>
              <w:jc w:val="right"/>
            </w:pPr>
            <w:r>
              <w:t>623.4</w:t>
            </w:r>
          </w:p>
        </w:tc>
        <w:tc>
          <w:tcPr>
            <w:tcW w:w="817" w:type="dxa"/>
            <w:tcBorders>
              <w:right w:val="single" w:sz="18" w:space="0" w:color="FFFFFF" w:themeColor="background1"/>
            </w:tcBorders>
          </w:tcPr>
          <w:p w:rsidR="009A3AFE" w:rsidRPr="00AA58CA" w:rsidRDefault="009A3AFE" w:rsidP="009A3AFE">
            <w:pPr>
              <w:jc w:val="right"/>
            </w:pPr>
          </w:p>
        </w:tc>
        <w:tc>
          <w:tcPr>
            <w:tcW w:w="1405" w:type="dxa"/>
            <w:tcBorders>
              <w:left w:val="single" w:sz="18" w:space="0" w:color="FFFFFF" w:themeColor="background1"/>
            </w:tcBorders>
          </w:tcPr>
          <w:p w:rsidR="009A3AFE" w:rsidRPr="00AA58CA" w:rsidRDefault="009A3AFE" w:rsidP="009A3AFE">
            <w:pPr>
              <w:jc w:val="right"/>
            </w:pPr>
            <w:r>
              <w:t>-</w:t>
            </w:r>
          </w:p>
        </w:tc>
        <w:tc>
          <w:tcPr>
            <w:tcW w:w="550" w:type="dxa"/>
            <w:tcBorders>
              <w:right w:val="single" w:sz="18" w:space="0" w:color="FFFFFF" w:themeColor="background1"/>
            </w:tcBorders>
          </w:tcPr>
          <w:p w:rsidR="009A3AFE" w:rsidRPr="00AA58CA" w:rsidRDefault="009A3AFE" w:rsidP="009A3AFE">
            <w:pPr>
              <w:jc w:val="right"/>
            </w:pPr>
          </w:p>
        </w:tc>
        <w:tc>
          <w:tcPr>
            <w:tcW w:w="1270" w:type="dxa"/>
            <w:tcBorders>
              <w:left w:val="single" w:sz="18" w:space="0" w:color="FFFFFF" w:themeColor="background1"/>
            </w:tcBorders>
          </w:tcPr>
          <w:p w:rsidR="009A3AFE" w:rsidRPr="00AA58CA" w:rsidRDefault="009A3AFE" w:rsidP="009A3AFE">
            <w:pPr>
              <w:jc w:val="right"/>
            </w:pPr>
            <w:r>
              <w:t>-</w:t>
            </w:r>
          </w:p>
        </w:tc>
      </w:tr>
      <w:tr w:rsidR="009A3AFE" w:rsidRPr="00AA58CA" w:rsidTr="009A3AFE">
        <w:trPr>
          <w:gridAfter w:val="1"/>
          <w:wAfter w:w="550" w:type="dxa"/>
        </w:trPr>
        <w:tc>
          <w:tcPr>
            <w:tcW w:w="3797" w:type="dxa"/>
          </w:tcPr>
          <w:p w:rsidR="009A3AFE" w:rsidRDefault="009A3AFE" w:rsidP="009A3AFE">
            <w:pPr>
              <w:jc w:val="both"/>
            </w:pPr>
            <w:r>
              <w:t>Equities</w:t>
            </w:r>
          </w:p>
        </w:tc>
        <w:tc>
          <w:tcPr>
            <w:tcW w:w="1017" w:type="dxa"/>
            <w:tcBorders>
              <w:right w:val="single" w:sz="18" w:space="0" w:color="FFFFFF" w:themeColor="background1"/>
            </w:tcBorders>
          </w:tcPr>
          <w:p w:rsidR="009A3AFE" w:rsidRPr="00AA58CA" w:rsidRDefault="009A3AFE" w:rsidP="009A3AFE">
            <w:pPr>
              <w:jc w:val="right"/>
            </w:pPr>
          </w:p>
        </w:tc>
        <w:tc>
          <w:tcPr>
            <w:tcW w:w="1343" w:type="dxa"/>
            <w:tcBorders>
              <w:left w:val="single" w:sz="18" w:space="0" w:color="FFFFFF" w:themeColor="background1"/>
            </w:tcBorders>
          </w:tcPr>
          <w:p w:rsidR="009A3AFE" w:rsidRPr="00AA58CA" w:rsidRDefault="009A3AFE" w:rsidP="009A3AFE">
            <w:pPr>
              <w:jc w:val="right"/>
            </w:pPr>
            <w:r>
              <w:t>1,613.7</w:t>
            </w:r>
          </w:p>
        </w:tc>
        <w:tc>
          <w:tcPr>
            <w:tcW w:w="817" w:type="dxa"/>
            <w:tcBorders>
              <w:right w:val="single" w:sz="18" w:space="0" w:color="FFFFFF" w:themeColor="background1"/>
            </w:tcBorders>
          </w:tcPr>
          <w:p w:rsidR="009A3AFE" w:rsidRPr="00AA58CA" w:rsidRDefault="009A3AFE" w:rsidP="009A3AFE">
            <w:pPr>
              <w:jc w:val="right"/>
            </w:pPr>
          </w:p>
        </w:tc>
        <w:tc>
          <w:tcPr>
            <w:tcW w:w="1405" w:type="dxa"/>
            <w:tcBorders>
              <w:left w:val="single" w:sz="18" w:space="0" w:color="FFFFFF" w:themeColor="background1"/>
            </w:tcBorders>
          </w:tcPr>
          <w:p w:rsidR="009A3AFE" w:rsidRPr="00AA58CA" w:rsidRDefault="009A3AFE" w:rsidP="009A3AFE">
            <w:pPr>
              <w:jc w:val="right"/>
            </w:pPr>
            <w:r>
              <w:t>-</w:t>
            </w:r>
          </w:p>
        </w:tc>
        <w:tc>
          <w:tcPr>
            <w:tcW w:w="550" w:type="dxa"/>
            <w:tcBorders>
              <w:right w:val="single" w:sz="18" w:space="0" w:color="FFFFFF" w:themeColor="background1"/>
            </w:tcBorders>
          </w:tcPr>
          <w:p w:rsidR="009A3AFE" w:rsidRPr="00AA58CA" w:rsidRDefault="009A3AFE" w:rsidP="009A3AFE">
            <w:pPr>
              <w:jc w:val="right"/>
            </w:pPr>
          </w:p>
        </w:tc>
        <w:tc>
          <w:tcPr>
            <w:tcW w:w="1270" w:type="dxa"/>
            <w:tcBorders>
              <w:left w:val="single" w:sz="18" w:space="0" w:color="FFFFFF" w:themeColor="background1"/>
            </w:tcBorders>
          </w:tcPr>
          <w:p w:rsidR="009A3AFE" w:rsidRPr="00AA58CA" w:rsidRDefault="009A3AFE" w:rsidP="009A3AFE">
            <w:pPr>
              <w:jc w:val="right"/>
            </w:pPr>
            <w:r>
              <w:t>-</w:t>
            </w:r>
          </w:p>
        </w:tc>
      </w:tr>
      <w:tr w:rsidR="009A3AFE" w:rsidRPr="00AA58CA" w:rsidTr="009A3AFE">
        <w:trPr>
          <w:gridAfter w:val="1"/>
          <w:wAfter w:w="550" w:type="dxa"/>
        </w:trPr>
        <w:tc>
          <w:tcPr>
            <w:tcW w:w="3797" w:type="dxa"/>
          </w:tcPr>
          <w:p w:rsidR="009A3AFE" w:rsidRDefault="009A3AFE" w:rsidP="009A3AFE">
            <w:pPr>
              <w:jc w:val="both"/>
            </w:pPr>
            <w:r>
              <w:t>Index linked securities</w:t>
            </w:r>
          </w:p>
        </w:tc>
        <w:tc>
          <w:tcPr>
            <w:tcW w:w="1017" w:type="dxa"/>
            <w:tcBorders>
              <w:right w:val="single" w:sz="18" w:space="0" w:color="FFFFFF" w:themeColor="background1"/>
            </w:tcBorders>
          </w:tcPr>
          <w:p w:rsidR="009A3AFE" w:rsidRPr="00AA58CA" w:rsidRDefault="009A3AFE" w:rsidP="009A3AFE">
            <w:pPr>
              <w:jc w:val="right"/>
            </w:pPr>
          </w:p>
        </w:tc>
        <w:tc>
          <w:tcPr>
            <w:tcW w:w="1343" w:type="dxa"/>
            <w:tcBorders>
              <w:left w:val="single" w:sz="18" w:space="0" w:color="FFFFFF" w:themeColor="background1"/>
            </w:tcBorders>
          </w:tcPr>
          <w:p w:rsidR="009A3AFE" w:rsidRPr="00AA58CA" w:rsidRDefault="009A3AFE" w:rsidP="009A3AFE">
            <w:pPr>
              <w:jc w:val="right"/>
            </w:pPr>
            <w:r>
              <w:t>124.6</w:t>
            </w:r>
          </w:p>
        </w:tc>
        <w:tc>
          <w:tcPr>
            <w:tcW w:w="817" w:type="dxa"/>
            <w:tcBorders>
              <w:right w:val="single" w:sz="18" w:space="0" w:color="FFFFFF" w:themeColor="background1"/>
            </w:tcBorders>
          </w:tcPr>
          <w:p w:rsidR="009A3AFE" w:rsidRPr="00AA58CA" w:rsidRDefault="009A3AFE" w:rsidP="009A3AFE">
            <w:pPr>
              <w:jc w:val="right"/>
            </w:pPr>
          </w:p>
        </w:tc>
        <w:tc>
          <w:tcPr>
            <w:tcW w:w="1405" w:type="dxa"/>
            <w:tcBorders>
              <w:left w:val="single" w:sz="18" w:space="0" w:color="FFFFFF" w:themeColor="background1"/>
            </w:tcBorders>
          </w:tcPr>
          <w:p w:rsidR="009A3AFE" w:rsidRPr="00AA58CA" w:rsidRDefault="009A3AFE" w:rsidP="009A3AFE">
            <w:pPr>
              <w:jc w:val="right"/>
            </w:pPr>
            <w:r>
              <w:t>-</w:t>
            </w:r>
          </w:p>
        </w:tc>
        <w:tc>
          <w:tcPr>
            <w:tcW w:w="550" w:type="dxa"/>
            <w:tcBorders>
              <w:right w:val="single" w:sz="18" w:space="0" w:color="FFFFFF" w:themeColor="background1"/>
            </w:tcBorders>
          </w:tcPr>
          <w:p w:rsidR="009A3AFE" w:rsidRPr="00AA58CA" w:rsidRDefault="009A3AFE" w:rsidP="009A3AFE">
            <w:pPr>
              <w:jc w:val="right"/>
            </w:pPr>
          </w:p>
        </w:tc>
        <w:tc>
          <w:tcPr>
            <w:tcW w:w="1270" w:type="dxa"/>
            <w:tcBorders>
              <w:left w:val="single" w:sz="18" w:space="0" w:color="FFFFFF" w:themeColor="background1"/>
            </w:tcBorders>
          </w:tcPr>
          <w:p w:rsidR="009A3AFE" w:rsidRPr="00AA58CA" w:rsidRDefault="009A3AFE" w:rsidP="009A3AFE">
            <w:pPr>
              <w:jc w:val="right"/>
            </w:pPr>
            <w:r>
              <w:t>-</w:t>
            </w:r>
          </w:p>
        </w:tc>
      </w:tr>
      <w:tr w:rsidR="009A3AFE" w:rsidRPr="00AA58CA" w:rsidTr="009A3AFE">
        <w:trPr>
          <w:gridAfter w:val="1"/>
          <w:wAfter w:w="550" w:type="dxa"/>
        </w:trPr>
        <w:tc>
          <w:tcPr>
            <w:tcW w:w="3797" w:type="dxa"/>
          </w:tcPr>
          <w:p w:rsidR="009A3AFE" w:rsidRDefault="009A3AFE" w:rsidP="009A3AFE">
            <w:pPr>
              <w:jc w:val="both"/>
            </w:pPr>
            <w:r>
              <w:t>Pooled investment vehicles</w:t>
            </w:r>
          </w:p>
        </w:tc>
        <w:tc>
          <w:tcPr>
            <w:tcW w:w="1017" w:type="dxa"/>
            <w:tcBorders>
              <w:right w:val="single" w:sz="18" w:space="0" w:color="FFFFFF" w:themeColor="background1"/>
            </w:tcBorders>
          </w:tcPr>
          <w:p w:rsidR="009A3AFE" w:rsidRPr="00AA58CA" w:rsidRDefault="009A3AFE" w:rsidP="009A3AFE">
            <w:pPr>
              <w:jc w:val="right"/>
            </w:pPr>
          </w:p>
        </w:tc>
        <w:tc>
          <w:tcPr>
            <w:tcW w:w="1343" w:type="dxa"/>
            <w:tcBorders>
              <w:left w:val="single" w:sz="18" w:space="0" w:color="FFFFFF" w:themeColor="background1"/>
            </w:tcBorders>
          </w:tcPr>
          <w:p w:rsidR="009A3AFE" w:rsidRPr="00AA58CA" w:rsidRDefault="009A3AFE" w:rsidP="009A3AFE">
            <w:pPr>
              <w:jc w:val="right"/>
            </w:pPr>
            <w:r>
              <w:t>1,466.3</w:t>
            </w:r>
          </w:p>
        </w:tc>
        <w:tc>
          <w:tcPr>
            <w:tcW w:w="817" w:type="dxa"/>
            <w:tcBorders>
              <w:right w:val="single" w:sz="18" w:space="0" w:color="FFFFFF" w:themeColor="background1"/>
            </w:tcBorders>
          </w:tcPr>
          <w:p w:rsidR="009A3AFE" w:rsidRPr="00AA58CA" w:rsidRDefault="009A3AFE" w:rsidP="009A3AFE">
            <w:pPr>
              <w:jc w:val="right"/>
            </w:pPr>
          </w:p>
        </w:tc>
        <w:tc>
          <w:tcPr>
            <w:tcW w:w="1405" w:type="dxa"/>
            <w:tcBorders>
              <w:left w:val="single" w:sz="18" w:space="0" w:color="FFFFFF" w:themeColor="background1"/>
            </w:tcBorders>
          </w:tcPr>
          <w:p w:rsidR="009A3AFE" w:rsidRPr="00AA58CA" w:rsidRDefault="009A3AFE" w:rsidP="009A3AFE">
            <w:pPr>
              <w:jc w:val="right"/>
            </w:pPr>
            <w:r>
              <w:t>-</w:t>
            </w:r>
          </w:p>
        </w:tc>
        <w:tc>
          <w:tcPr>
            <w:tcW w:w="550" w:type="dxa"/>
            <w:tcBorders>
              <w:right w:val="single" w:sz="18" w:space="0" w:color="FFFFFF" w:themeColor="background1"/>
            </w:tcBorders>
          </w:tcPr>
          <w:p w:rsidR="009A3AFE" w:rsidRPr="00AA58CA" w:rsidRDefault="009A3AFE" w:rsidP="009A3AFE">
            <w:pPr>
              <w:jc w:val="right"/>
            </w:pPr>
          </w:p>
        </w:tc>
        <w:tc>
          <w:tcPr>
            <w:tcW w:w="1270" w:type="dxa"/>
            <w:tcBorders>
              <w:left w:val="single" w:sz="18" w:space="0" w:color="FFFFFF" w:themeColor="background1"/>
            </w:tcBorders>
          </w:tcPr>
          <w:p w:rsidR="009A3AFE" w:rsidRPr="00AA58CA" w:rsidRDefault="009A3AFE" w:rsidP="009A3AFE">
            <w:pPr>
              <w:jc w:val="right"/>
            </w:pPr>
            <w:r>
              <w:t>-</w:t>
            </w:r>
          </w:p>
        </w:tc>
      </w:tr>
      <w:tr w:rsidR="009A3AFE" w:rsidRPr="00AA58CA" w:rsidTr="009A3AFE">
        <w:trPr>
          <w:gridAfter w:val="1"/>
          <w:wAfter w:w="550" w:type="dxa"/>
        </w:trPr>
        <w:tc>
          <w:tcPr>
            <w:tcW w:w="3797" w:type="dxa"/>
          </w:tcPr>
          <w:p w:rsidR="009A3AFE" w:rsidRDefault="009A3AFE" w:rsidP="009A3AFE">
            <w:pPr>
              <w:jc w:val="both"/>
            </w:pPr>
            <w:r>
              <w:t>Derivative contracts</w:t>
            </w:r>
          </w:p>
        </w:tc>
        <w:tc>
          <w:tcPr>
            <w:tcW w:w="1017" w:type="dxa"/>
            <w:tcBorders>
              <w:right w:val="single" w:sz="18" w:space="0" w:color="FFFFFF" w:themeColor="background1"/>
            </w:tcBorders>
          </w:tcPr>
          <w:p w:rsidR="009A3AFE" w:rsidRPr="00AA58CA" w:rsidRDefault="009A3AFE" w:rsidP="009A3AFE">
            <w:pPr>
              <w:jc w:val="right"/>
            </w:pPr>
          </w:p>
        </w:tc>
        <w:tc>
          <w:tcPr>
            <w:tcW w:w="1343" w:type="dxa"/>
            <w:tcBorders>
              <w:left w:val="single" w:sz="18" w:space="0" w:color="FFFFFF" w:themeColor="background1"/>
            </w:tcBorders>
          </w:tcPr>
          <w:p w:rsidR="009A3AFE" w:rsidRPr="00AA58CA" w:rsidRDefault="009A3AFE" w:rsidP="009A3AFE">
            <w:pPr>
              <w:jc w:val="right"/>
            </w:pPr>
            <w:r>
              <w:t>3.4</w:t>
            </w:r>
          </w:p>
        </w:tc>
        <w:tc>
          <w:tcPr>
            <w:tcW w:w="817" w:type="dxa"/>
            <w:tcBorders>
              <w:right w:val="single" w:sz="18" w:space="0" w:color="FFFFFF" w:themeColor="background1"/>
            </w:tcBorders>
          </w:tcPr>
          <w:p w:rsidR="009A3AFE" w:rsidRPr="00AA58CA" w:rsidRDefault="009A3AFE" w:rsidP="009A3AFE">
            <w:pPr>
              <w:jc w:val="right"/>
            </w:pPr>
          </w:p>
        </w:tc>
        <w:tc>
          <w:tcPr>
            <w:tcW w:w="1405" w:type="dxa"/>
            <w:tcBorders>
              <w:left w:val="single" w:sz="18" w:space="0" w:color="FFFFFF" w:themeColor="background1"/>
            </w:tcBorders>
          </w:tcPr>
          <w:p w:rsidR="009A3AFE" w:rsidRPr="00AA58CA" w:rsidRDefault="009A3AFE" w:rsidP="009A3AFE">
            <w:pPr>
              <w:jc w:val="right"/>
            </w:pPr>
            <w:r>
              <w:t>-</w:t>
            </w:r>
          </w:p>
        </w:tc>
        <w:tc>
          <w:tcPr>
            <w:tcW w:w="550" w:type="dxa"/>
            <w:tcBorders>
              <w:right w:val="single" w:sz="18" w:space="0" w:color="FFFFFF" w:themeColor="background1"/>
            </w:tcBorders>
          </w:tcPr>
          <w:p w:rsidR="009A3AFE" w:rsidRPr="00AA58CA" w:rsidRDefault="009A3AFE" w:rsidP="009A3AFE">
            <w:pPr>
              <w:jc w:val="right"/>
            </w:pPr>
          </w:p>
        </w:tc>
        <w:tc>
          <w:tcPr>
            <w:tcW w:w="1270" w:type="dxa"/>
            <w:tcBorders>
              <w:left w:val="single" w:sz="18" w:space="0" w:color="FFFFFF" w:themeColor="background1"/>
            </w:tcBorders>
          </w:tcPr>
          <w:p w:rsidR="009A3AFE" w:rsidRPr="00AA58CA" w:rsidRDefault="009A3AFE" w:rsidP="009A3AFE">
            <w:pPr>
              <w:jc w:val="right"/>
            </w:pPr>
            <w:r>
              <w:t>-</w:t>
            </w:r>
          </w:p>
        </w:tc>
      </w:tr>
      <w:tr w:rsidR="009A3AFE" w:rsidRPr="00AA58CA" w:rsidTr="009A3AFE">
        <w:trPr>
          <w:gridAfter w:val="1"/>
          <w:wAfter w:w="550" w:type="dxa"/>
        </w:trPr>
        <w:tc>
          <w:tcPr>
            <w:tcW w:w="3797" w:type="dxa"/>
          </w:tcPr>
          <w:p w:rsidR="009A3AFE" w:rsidRDefault="009A3AFE" w:rsidP="009A3AFE">
            <w:pPr>
              <w:jc w:val="both"/>
            </w:pPr>
            <w:r>
              <w:t>Cash deposits</w:t>
            </w:r>
          </w:p>
        </w:tc>
        <w:tc>
          <w:tcPr>
            <w:tcW w:w="1017" w:type="dxa"/>
            <w:tcBorders>
              <w:right w:val="single" w:sz="18" w:space="0" w:color="FFFFFF" w:themeColor="background1"/>
            </w:tcBorders>
          </w:tcPr>
          <w:p w:rsidR="009A3AFE" w:rsidRPr="00AA58CA" w:rsidRDefault="009A3AFE" w:rsidP="009A3AFE">
            <w:pPr>
              <w:jc w:val="right"/>
            </w:pPr>
          </w:p>
        </w:tc>
        <w:tc>
          <w:tcPr>
            <w:tcW w:w="1343" w:type="dxa"/>
            <w:tcBorders>
              <w:left w:val="single" w:sz="18" w:space="0" w:color="FFFFFF" w:themeColor="background1"/>
            </w:tcBorders>
          </w:tcPr>
          <w:p w:rsidR="009A3AFE" w:rsidRPr="00AA58CA" w:rsidRDefault="009A3AFE" w:rsidP="009A3AFE">
            <w:pPr>
              <w:jc w:val="right"/>
            </w:pPr>
            <w:r>
              <w:t>-</w:t>
            </w:r>
          </w:p>
        </w:tc>
        <w:tc>
          <w:tcPr>
            <w:tcW w:w="817" w:type="dxa"/>
            <w:tcBorders>
              <w:right w:val="single" w:sz="18" w:space="0" w:color="FFFFFF" w:themeColor="background1"/>
            </w:tcBorders>
          </w:tcPr>
          <w:p w:rsidR="009A3AFE" w:rsidRPr="00AA58CA" w:rsidRDefault="009A3AFE" w:rsidP="009A3AFE">
            <w:pPr>
              <w:jc w:val="right"/>
            </w:pPr>
          </w:p>
        </w:tc>
        <w:tc>
          <w:tcPr>
            <w:tcW w:w="1405" w:type="dxa"/>
            <w:tcBorders>
              <w:left w:val="single" w:sz="18" w:space="0" w:color="FFFFFF" w:themeColor="background1"/>
            </w:tcBorders>
          </w:tcPr>
          <w:p w:rsidR="009A3AFE" w:rsidRPr="00AA58CA" w:rsidRDefault="009A3AFE" w:rsidP="009A3AFE">
            <w:pPr>
              <w:jc w:val="right"/>
            </w:pPr>
            <w:r>
              <w:t>126.8</w:t>
            </w:r>
          </w:p>
        </w:tc>
        <w:tc>
          <w:tcPr>
            <w:tcW w:w="550" w:type="dxa"/>
            <w:tcBorders>
              <w:right w:val="single" w:sz="18" w:space="0" w:color="FFFFFF" w:themeColor="background1"/>
            </w:tcBorders>
          </w:tcPr>
          <w:p w:rsidR="009A3AFE" w:rsidRPr="00AA58CA" w:rsidRDefault="009A3AFE" w:rsidP="009A3AFE">
            <w:pPr>
              <w:jc w:val="right"/>
            </w:pPr>
          </w:p>
        </w:tc>
        <w:tc>
          <w:tcPr>
            <w:tcW w:w="1270" w:type="dxa"/>
            <w:tcBorders>
              <w:left w:val="single" w:sz="18" w:space="0" w:color="FFFFFF" w:themeColor="background1"/>
            </w:tcBorders>
          </w:tcPr>
          <w:p w:rsidR="009A3AFE" w:rsidRPr="00AA58CA" w:rsidRDefault="009A3AFE" w:rsidP="009A3AFE">
            <w:pPr>
              <w:jc w:val="right"/>
            </w:pPr>
            <w:r>
              <w:t>-</w:t>
            </w:r>
          </w:p>
        </w:tc>
      </w:tr>
      <w:tr w:rsidR="009A3AFE" w:rsidRPr="00AA58CA" w:rsidTr="009A3AFE">
        <w:trPr>
          <w:gridAfter w:val="1"/>
          <w:wAfter w:w="550" w:type="dxa"/>
        </w:trPr>
        <w:tc>
          <w:tcPr>
            <w:tcW w:w="3797" w:type="dxa"/>
          </w:tcPr>
          <w:p w:rsidR="009A3AFE" w:rsidRDefault="009A3AFE" w:rsidP="009A3AFE">
            <w:pPr>
              <w:jc w:val="both"/>
            </w:pPr>
            <w:r>
              <w:t>Other investment balances</w:t>
            </w:r>
          </w:p>
        </w:tc>
        <w:tc>
          <w:tcPr>
            <w:tcW w:w="1017" w:type="dxa"/>
            <w:tcBorders>
              <w:right w:val="single" w:sz="18" w:space="0" w:color="FFFFFF" w:themeColor="background1"/>
            </w:tcBorders>
          </w:tcPr>
          <w:p w:rsidR="009A3AFE" w:rsidRPr="00AA58CA" w:rsidRDefault="009A3AFE" w:rsidP="009A3AFE">
            <w:pPr>
              <w:jc w:val="right"/>
            </w:pPr>
          </w:p>
        </w:tc>
        <w:tc>
          <w:tcPr>
            <w:tcW w:w="1343" w:type="dxa"/>
            <w:tcBorders>
              <w:left w:val="single" w:sz="18" w:space="0" w:color="FFFFFF" w:themeColor="background1"/>
            </w:tcBorders>
          </w:tcPr>
          <w:p w:rsidR="009A3AFE" w:rsidRPr="00AA58CA" w:rsidRDefault="009A3AFE" w:rsidP="009A3AFE">
            <w:pPr>
              <w:jc w:val="right"/>
            </w:pPr>
            <w:r>
              <w:t>19.4</w:t>
            </w:r>
          </w:p>
        </w:tc>
        <w:tc>
          <w:tcPr>
            <w:tcW w:w="817" w:type="dxa"/>
            <w:tcBorders>
              <w:right w:val="single" w:sz="18" w:space="0" w:color="FFFFFF" w:themeColor="background1"/>
            </w:tcBorders>
          </w:tcPr>
          <w:p w:rsidR="009A3AFE" w:rsidRPr="00AA58CA" w:rsidRDefault="009A3AFE" w:rsidP="009A3AFE">
            <w:pPr>
              <w:jc w:val="right"/>
            </w:pPr>
          </w:p>
        </w:tc>
        <w:tc>
          <w:tcPr>
            <w:tcW w:w="1405" w:type="dxa"/>
            <w:tcBorders>
              <w:left w:val="single" w:sz="18" w:space="0" w:color="FFFFFF" w:themeColor="background1"/>
            </w:tcBorders>
          </w:tcPr>
          <w:p w:rsidR="009A3AFE" w:rsidRPr="00AA58CA" w:rsidRDefault="009A3AFE" w:rsidP="009A3AFE">
            <w:pPr>
              <w:jc w:val="right"/>
            </w:pPr>
            <w:r>
              <w:t>-</w:t>
            </w:r>
          </w:p>
        </w:tc>
        <w:tc>
          <w:tcPr>
            <w:tcW w:w="550" w:type="dxa"/>
            <w:tcBorders>
              <w:right w:val="single" w:sz="18" w:space="0" w:color="FFFFFF" w:themeColor="background1"/>
            </w:tcBorders>
          </w:tcPr>
          <w:p w:rsidR="009A3AFE" w:rsidRPr="00AA58CA" w:rsidRDefault="009A3AFE" w:rsidP="009A3AFE">
            <w:pPr>
              <w:jc w:val="right"/>
            </w:pPr>
          </w:p>
        </w:tc>
        <w:tc>
          <w:tcPr>
            <w:tcW w:w="1270" w:type="dxa"/>
            <w:tcBorders>
              <w:left w:val="single" w:sz="18" w:space="0" w:color="FFFFFF" w:themeColor="background1"/>
            </w:tcBorders>
          </w:tcPr>
          <w:p w:rsidR="009A3AFE" w:rsidRPr="00AA58CA" w:rsidRDefault="009A3AFE" w:rsidP="009A3AFE">
            <w:pPr>
              <w:jc w:val="right"/>
            </w:pPr>
            <w:r>
              <w:t>-</w:t>
            </w:r>
          </w:p>
        </w:tc>
      </w:tr>
      <w:tr w:rsidR="009A3AFE" w:rsidRPr="00AA58CA" w:rsidTr="009A3AFE">
        <w:trPr>
          <w:gridAfter w:val="1"/>
          <w:wAfter w:w="550" w:type="dxa"/>
        </w:trPr>
        <w:tc>
          <w:tcPr>
            <w:tcW w:w="3797" w:type="dxa"/>
          </w:tcPr>
          <w:p w:rsidR="009A3AFE" w:rsidRDefault="009A3AFE" w:rsidP="009A3AFE">
            <w:pPr>
              <w:jc w:val="both"/>
            </w:pPr>
            <w:r>
              <w:t>Debtors</w:t>
            </w:r>
          </w:p>
        </w:tc>
        <w:tc>
          <w:tcPr>
            <w:tcW w:w="1017" w:type="dxa"/>
            <w:tcBorders>
              <w:right w:val="single" w:sz="18" w:space="0" w:color="FFFFFF" w:themeColor="background1"/>
            </w:tcBorders>
          </w:tcPr>
          <w:p w:rsidR="009A3AFE" w:rsidRPr="00AA58CA" w:rsidRDefault="009A3AFE" w:rsidP="009A3AFE">
            <w:pPr>
              <w:jc w:val="right"/>
            </w:pPr>
          </w:p>
        </w:tc>
        <w:tc>
          <w:tcPr>
            <w:tcW w:w="1343" w:type="dxa"/>
            <w:tcBorders>
              <w:left w:val="single" w:sz="18" w:space="0" w:color="FFFFFF" w:themeColor="background1"/>
            </w:tcBorders>
          </w:tcPr>
          <w:p w:rsidR="009A3AFE" w:rsidRPr="00AA58CA" w:rsidRDefault="009A3AFE" w:rsidP="009A3AFE">
            <w:pPr>
              <w:jc w:val="right"/>
            </w:pPr>
            <w:r>
              <w:t>-</w:t>
            </w:r>
          </w:p>
        </w:tc>
        <w:tc>
          <w:tcPr>
            <w:tcW w:w="817" w:type="dxa"/>
            <w:tcBorders>
              <w:right w:val="single" w:sz="18" w:space="0" w:color="FFFFFF" w:themeColor="background1"/>
            </w:tcBorders>
          </w:tcPr>
          <w:p w:rsidR="009A3AFE" w:rsidRPr="00AA58CA" w:rsidRDefault="009A3AFE" w:rsidP="009A3AFE">
            <w:pPr>
              <w:jc w:val="right"/>
            </w:pPr>
          </w:p>
        </w:tc>
        <w:tc>
          <w:tcPr>
            <w:tcW w:w="1405" w:type="dxa"/>
            <w:tcBorders>
              <w:left w:val="single" w:sz="18" w:space="0" w:color="FFFFFF" w:themeColor="background1"/>
            </w:tcBorders>
          </w:tcPr>
          <w:p w:rsidR="009A3AFE" w:rsidRPr="00AA58CA" w:rsidRDefault="009A3AFE" w:rsidP="009A3AFE">
            <w:pPr>
              <w:jc w:val="right"/>
            </w:pPr>
            <w:r>
              <w:t>23.3</w:t>
            </w:r>
          </w:p>
        </w:tc>
        <w:tc>
          <w:tcPr>
            <w:tcW w:w="550" w:type="dxa"/>
            <w:tcBorders>
              <w:right w:val="single" w:sz="18" w:space="0" w:color="FFFFFF" w:themeColor="background1"/>
            </w:tcBorders>
          </w:tcPr>
          <w:p w:rsidR="009A3AFE" w:rsidRPr="00AA58CA" w:rsidRDefault="009A3AFE" w:rsidP="009A3AFE">
            <w:pPr>
              <w:jc w:val="right"/>
            </w:pPr>
          </w:p>
        </w:tc>
        <w:tc>
          <w:tcPr>
            <w:tcW w:w="1270" w:type="dxa"/>
            <w:tcBorders>
              <w:left w:val="single" w:sz="18" w:space="0" w:color="FFFFFF" w:themeColor="background1"/>
            </w:tcBorders>
          </w:tcPr>
          <w:p w:rsidR="009A3AFE" w:rsidRPr="00AA58CA" w:rsidRDefault="009A3AFE" w:rsidP="009A3AFE">
            <w:pPr>
              <w:jc w:val="right"/>
            </w:pPr>
            <w:r>
              <w:t>-</w:t>
            </w:r>
          </w:p>
        </w:tc>
      </w:tr>
      <w:tr w:rsidR="009A3AFE" w:rsidRPr="00AA58CA" w:rsidTr="009A3AFE">
        <w:trPr>
          <w:gridAfter w:val="1"/>
          <w:wAfter w:w="550" w:type="dxa"/>
        </w:trPr>
        <w:tc>
          <w:tcPr>
            <w:tcW w:w="3797" w:type="dxa"/>
          </w:tcPr>
          <w:p w:rsidR="009A3AFE" w:rsidRPr="00EB2694" w:rsidRDefault="009A3AFE" w:rsidP="009A3AFE">
            <w:pPr>
              <w:jc w:val="both"/>
              <w:rPr>
                <w:b/>
              </w:rPr>
            </w:pPr>
            <w:r w:rsidRPr="00EB2694">
              <w:rPr>
                <w:b/>
              </w:rPr>
              <w:t>Total Financial Assets</w:t>
            </w:r>
          </w:p>
          <w:p w:rsidR="009A3AFE" w:rsidRDefault="009A3AFE" w:rsidP="009A3AFE">
            <w:pPr>
              <w:jc w:val="both"/>
            </w:pPr>
          </w:p>
        </w:tc>
        <w:tc>
          <w:tcPr>
            <w:tcW w:w="1017" w:type="dxa"/>
            <w:tcBorders>
              <w:right w:val="single" w:sz="18" w:space="0" w:color="FFFFFF" w:themeColor="background1"/>
            </w:tcBorders>
          </w:tcPr>
          <w:p w:rsidR="009A3AFE" w:rsidRPr="00B736A4" w:rsidRDefault="009A3AFE" w:rsidP="009A3AFE">
            <w:pPr>
              <w:jc w:val="right"/>
              <w:rPr>
                <w:b/>
              </w:rPr>
            </w:pPr>
          </w:p>
        </w:tc>
        <w:tc>
          <w:tcPr>
            <w:tcW w:w="1343" w:type="dxa"/>
            <w:tcBorders>
              <w:left w:val="single" w:sz="18" w:space="0" w:color="FFFFFF" w:themeColor="background1"/>
            </w:tcBorders>
          </w:tcPr>
          <w:p w:rsidR="009A3AFE" w:rsidRPr="00B736A4" w:rsidRDefault="009A3AFE" w:rsidP="009A3AFE">
            <w:pPr>
              <w:jc w:val="right"/>
              <w:rPr>
                <w:b/>
              </w:rPr>
            </w:pPr>
            <w:r w:rsidRPr="00B736A4">
              <w:rPr>
                <w:b/>
              </w:rPr>
              <w:t>3,850.</w:t>
            </w:r>
            <w:r>
              <w:rPr>
                <w:b/>
              </w:rPr>
              <w:t>8</w:t>
            </w:r>
          </w:p>
        </w:tc>
        <w:tc>
          <w:tcPr>
            <w:tcW w:w="817" w:type="dxa"/>
            <w:tcBorders>
              <w:right w:val="single" w:sz="18" w:space="0" w:color="FFFFFF" w:themeColor="background1"/>
            </w:tcBorders>
          </w:tcPr>
          <w:p w:rsidR="009A3AFE" w:rsidRPr="00B736A4" w:rsidRDefault="009A3AFE" w:rsidP="009A3AFE">
            <w:pPr>
              <w:jc w:val="right"/>
              <w:rPr>
                <w:b/>
              </w:rPr>
            </w:pPr>
          </w:p>
        </w:tc>
        <w:tc>
          <w:tcPr>
            <w:tcW w:w="1405" w:type="dxa"/>
            <w:tcBorders>
              <w:left w:val="single" w:sz="18" w:space="0" w:color="FFFFFF" w:themeColor="background1"/>
            </w:tcBorders>
          </w:tcPr>
          <w:p w:rsidR="009A3AFE" w:rsidRPr="00B736A4" w:rsidRDefault="009A3AFE" w:rsidP="009A3AFE">
            <w:pPr>
              <w:jc w:val="right"/>
              <w:rPr>
                <w:b/>
              </w:rPr>
            </w:pPr>
            <w:r w:rsidRPr="00B736A4">
              <w:rPr>
                <w:b/>
              </w:rPr>
              <w:t>150.</w:t>
            </w:r>
            <w:r>
              <w:rPr>
                <w:b/>
              </w:rPr>
              <w:t>1</w:t>
            </w:r>
          </w:p>
        </w:tc>
        <w:tc>
          <w:tcPr>
            <w:tcW w:w="550" w:type="dxa"/>
            <w:tcBorders>
              <w:right w:val="single" w:sz="18" w:space="0" w:color="FFFFFF" w:themeColor="background1"/>
            </w:tcBorders>
          </w:tcPr>
          <w:p w:rsidR="009A3AFE" w:rsidRPr="00B736A4" w:rsidRDefault="009A3AFE" w:rsidP="009A3AFE">
            <w:pPr>
              <w:jc w:val="right"/>
              <w:rPr>
                <w:b/>
              </w:rPr>
            </w:pPr>
          </w:p>
        </w:tc>
        <w:tc>
          <w:tcPr>
            <w:tcW w:w="1270" w:type="dxa"/>
            <w:tcBorders>
              <w:left w:val="single" w:sz="18" w:space="0" w:color="FFFFFF" w:themeColor="background1"/>
            </w:tcBorders>
          </w:tcPr>
          <w:p w:rsidR="009A3AFE" w:rsidRPr="00B736A4" w:rsidRDefault="009A3AFE" w:rsidP="009A3AFE">
            <w:pPr>
              <w:jc w:val="right"/>
              <w:rPr>
                <w:b/>
              </w:rPr>
            </w:pPr>
            <w:r w:rsidRPr="00B736A4">
              <w:rPr>
                <w:b/>
              </w:rPr>
              <w:t>-</w:t>
            </w:r>
          </w:p>
        </w:tc>
      </w:tr>
      <w:tr w:rsidR="009A3AFE" w:rsidRPr="00AA58CA" w:rsidTr="009A3AFE">
        <w:trPr>
          <w:gridAfter w:val="1"/>
          <w:wAfter w:w="550" w:type="dxa"/>
        </w:trPr>
        <w:tc>
          <w:tcPr>
            <w:tcW w:w="3797" w:type="dxa"/>
          </w:tcPr>
          <w:p w:rsidR="009A3AFE" w:rsidRPr="00EB2694" w:rsidRDefault="009A3AFE" w:rsidP="009A3AFE">
            <w:pPr>
              <w:jc w:val="both"/>
            </w:pPr>
            <w:r>
              <w:rPr>
                <w:b/>
              </w:rPr>
              <w:t>Financial liabilities</w:t>
            </w:r>
          </w:p>
        </w:tc>
        <w:tc>
          <w:tcPr>
            <w:tcW w:w="1017" w:type="dxa"/>
            <w:tcBorders>
              <w:right w:val="single" w:sz="18" w:space="0" w:color="FFFFFF" w:themeColor="background1"/>
            </w:tcBorders>
          </w:tcPr>
          <w:p w:rsidR="009A3AFE" w:rsidRPr="00AA58CA" w:rsidRDefault="009A3AFE" w:rsidP="009A3AFE">
            <w:pPr>
              <w:jc w:val="right"/>
            </w:pPr>
          </w:p>
        </w:tc>
        <w:tc>
          <w:tcPr>
            <w:tcW w:w="1343" w:type="dxa"/>
            <w:tcBorders>
              <w:left w:val="single" w:sz="18" w:space="0" w:color="FFFFFF" w:themeColor="background1"/>
            </w:tcBorders>
          </w:tcPr>
          <w:p w:rsidR="009A3AFE" w:rsidRPr="00AA58CA" w:rsidRDefault="009A3AFE" w:rsidP="009A3AFE">
            <w:pPr>
              <w:jc w:val="right"/>
            </w:pPr>
          </w:p>
        </w:tc>
        <w:tc>
          <w:tcPr>
            <w:tcW w:w="817" w:type="dxa"/>
            <w:tcBorders>
              <w:right w:val="single" w:sz="18" w:space="0" w:color="FFFFFF" w:themeColor="background1"/>
            </w:tcBorders>
          </w:tcPr>
          <w:p w:rsidR="009A3AFE" w:rsidRPr="00AA58CA" w:rsidRDefault="009A3AFE" w:rsidP="009A3AFE">
            <w:pPr>
              <w:jc w:val="right"/>
            </w:pPr>
          </w:p>
        </w:tc>
        <w:tc>
          <w:tcPr>
            <w:tcW w:w="1405" w:type="dxa"/>
            <w:tcBorders>
              <w:left w:val="single" w:sz="18" w:space="0" w:color="FFFFFF" w:themeColor="background1"/>
            </w:tcBorders>
          </w:tcPr>
          <w:p w:rsidR="009A3AFE" w:rsidRPr="00AA58CA" w:rsidRDefault="009A3AFE" w:rsidP="009A3AFE">
            <w:pPr>
              <w:jc w:val="right"/>
            </w:pPr>
          </w:p>
        </w:tc>
        <w:tc>
          <w:tcPr>
            <w:tcW w:w="550" w:type="dxa"/>
            <w:tcBorders>
              <w:right w:val="single" w:sz="18" w:space="0" w:color="FFFFFF" w:themeColor="background1"/>
            </w:tcBorders>
          </w:tcPr>
          <w:p w:rsidR="009A3AFE" w:rsidRPr="00AA58CA" w:rsidRDefault="009A3AFE" w:rsidP="009A3AFE">
            <w:pPr>
              <w:jc w:val="right"/>
            </w:pPr>
          </w:p>
        </w:tc>
        <w:tc>
          <w:tcPr>
            <w:tcW w:w="1270" w:type="dxa"/>
            <w:tcBorders>
              <w:left w:val="single" w:sz="18" w:space="0" w:color="FFFFFF" w:themeColor="background1"/>
            </w:tcBorders>
          </w:tcPr>
          <w:p w:rsidR="009A3AFE" w:rsidRPr="00AA58CA" w:rsidRDefault="009A3AFE" w:rsidP="009A3AFE">
            <w:pPr>
              <w:jc w:val="right"/>
            </w:pPr>
          </w:p>
        </w:tc>
      </w:tr>
      <w:tr w:rsidR="009A3AFE" w:rsidRPr="00AA58CA" w:rsidTr="009A3AFE">
        <w:trPr>
          <w:gridAfter w:val="1"/>
          <w:wAfter w:w="550" w:type="dxa"/>
        </w:trPr>
        <w:tc>
          <w:tcPr>
            <w:tcW w:w="3797" w:type="dxa"/>
          </w:tcPr>
          <w:p w:rsidR="009A3AFE" w:rsidRDefault="009A3AFE" w:rsidP="009A3AFE">
            <w:pPr>
              <w:jc w:val="both"/>
              <w:rPr>
                <w:b/>
              </w:rPr>
            </w:pPr>
            <w:r>
              <w:t>Derivative contracts</w:t>
            </w:r>
          </w:p>
        </w:tc>
        <w:tc>
          <w:tcPr>
            <w:tcW w:w="1017" w:type="dxa"/>
            <w:tcBorders>
              <w:right w:val="single" w:sz="18" w:space="0" w:color="FFFFFF" w:themeColor="background1"/>
            </w:tcBorders>
          </w:tcPr>
          <w:p w:rsidR="009A3AFE" w:rsidRPr="00AA58CA" w:rsidRDefault="009A3AFE" w:rsidP="009A3AFE">
            <w:pPr>
              <w:jc w:val="right"/>
            </w:pPr>
          </w:p>
        </w:tc>
        <w:tc>
          <w:tcPr>
            <w:tcW w:w="1343" w:type="dxa"/>
            <w:tcBorders>
              <w:left w:val="single" w:sz="18" w:space="0" w:color="FFFFFF" w:themeColor="background1"/>
            </w:tcBorders>
          </w:tcPr>
          <w:p w:rsidR="009A3AFE" w:rsidRPr="00AA58CA" w:rsidRDefault="009A3AFE" w:rsidP="009A3AFE">
            <w:pPr>
              <w:jc w:val="right"/>
            </w:pPr>
            <w:r>
              <w:t>1.6</w:t>
            </w:r>
          </w:p>
        </w:tc>
        <w:tc>
          <w:tcPr>
            <w:tcW w:w="817" w:type="dxa"/>
            <w:tcBorders>
              <w:right w:val="single" w:sz="18" w:space="0" w:color="FFFFFF" w:themeColor="background1"/>
            </w:tcBorders>
          </w:tcPr>
          <w:p w:rsidR="009A3AFE" w:rsidRPr="00AA58CA" w:rsidRDefault="009A3AFE" w:rsidP="009A3AFE">
            <w:pPr>
              <w:jc w:val="right"/>
            </w:pPr>
          </w:p>
        </w:tc>
        <w:tc>
          <w:tcPr>
            <w:tcW w:w="1405" w:type="dxa"/>
            <w:tcBorders>
              <w:left w:val="single" w:sz="18" w:space="0" w:color="FFFFFF" w:themeColor="background1"/>
            </w:tcBorders>
          </w:tcPr>
          <w:p w:rsidR="009A3AFE" w:rsidRPr="00AA58CA" w:rsidRDefault="009A3AFE" w:rsidP="009A3AFE">
            <w:pPr>
              <w:jc w:val="right"/>
            </w:pPr>
            <w:r>
              <w:t>-</w:t>
            </w:r>
          </w:p>
        </w:tc>
        <w:tc>
          <w:tcPr>
            <w:tcW w:w="550" w:type="dxa"/>
            <w:tcBorders>
              <w:right w:val="single" w:sz="18" w:space="0" w:color="FFFFFF" w:themeColor="background1"/>
            </w:tcBorders>
          </w:tcPr>
          <w:p w:rsidR="009A3AFE" w:rsidRPr="00AA58CA" w:rsidRDefault="009A3AFE" w:rsidP="009A3AFE">
            <w:pPr>
              <w:jc w:val="right"/>
            </w:pPr>
          </w:p>
        </w:tc>
        <w:tc>
          <w:tcPr>
            <w:tcW w:w="1270" w:type="dxa"/>
            <w:tcBorders>
              <w:left w:val="single" w:sz="18" w:space="0" w:color="FFFFFF" w:themeColor="background1"/>
            </w:tcBorders>
          </w:tcPr>
          <w:p w:rsidR="009A3AFE" w:rsidRPr="00AA58CA" w:rsidRDefault="009A3AFE" w:rsidP="009A3AFE">
            <w:pPr>
              <w:jc w:val="right"/>
            </w:pPr>
            <w:r>
              <w:t>-</w:t>
            </w:r>
          </w:p>
        </w:tc>
      </w:tr>
      <w:tr w:rsidR="009A3AFE" w:rsidRPr="00AA58CA" w:rsidTr="009A3AFE">
        <w:trPr>
          <w:gridAfter w:val="1"/>
          <w:wAfter w:w="550" w:type="dxa"/>
        </w:trPr>
        <w:tc>
          <w:tcPr>
            <w:tcW w:w="3797" w:type="dxa"/>
          </w:tcPr>
          <w:p w:rsidR="009A3AFE" w:rsidRDefault="009A3AFE" w:rsidP="009A3AFE">
            <w:pPr>
              <w:jc w:val="both"/>
            </w:pPr>
            <w:r>
              <w:t>Creditors</w:t>
            </w:r>
          </w:p>
        </w:tc>
        <w:tc>
          <w:tcPr>
            <w:tcW w:w="1017" w:type="dxa"/>
            <w:tcBorders>
              <w:right w:val="single" w:sz="18" w:space="0" w:color="FFFFFF" w:themeColor="background1"/>
            </w:tcBorders>
          </w:tcPr>
          <w:p w:rsidR="009A3AFE" w:rsidRPr="00AA58CA" w:rsidRDefault="009A3AFE" w:rsidP="009A3AFE">
            <w:pPr>
              <w:jc w:val="right"/>
            </w:pPr>
          </w:p>
        </w:tc>
        <w:tc>
          <w:tcPr>
            <w:tcW w:w="1343" w:type="dxa"/>
            <w:tcBorders>
              <w:left w:val="single" w:sz="18" w:space="0" w:color="FFFFFF" w:themeColor="background1"/>
            </w:tcBorders>
          </w:tcPr>
          <w:p w:rsidR="009A3AFE" w:rsidRPr="00AA58CA" w:rsidRDefault="009A3AFE" w:rsidP="009A3AFE">
            <w:pPr>
              <w:jc w:val="right"/>
            </w:pPr>
            <w:r>
              <w:t>-</w:t>
            </w:r>
          </w:p>
        </w:tc>
        <w:tc>
          <w:tcPr>
            <w:tcW w:w="817" w:type="dxa"/>
            <w:tcBorders>
              <w:right w:val="single" w:sz="18" w:space="0" w:color="FFFFFF" w:themeColor="background1"/>
            </w:tcBorders>
          </w:tcPr>
          <w:p w:rsidR="009A3AFE" w:rsidRPr="00AA58CA" w:rsidRDefault="009A3AFE" w:rsidP="009A3AFE">
            <w:pPr>
              <w:jc w:val="right"/>
            </w:pPr>
          </w:p>
        </w:tc>
        <w:tc>
          <w:tcPr>
            <w:tcW w:w="1405" w:type="dxa"/>
            <w:tcBorders>
              <w:left w:val="single" w:sz="18" w:space="0" w:color="FFFFFF" w:themeColor="background1"/>
            </w:tcBorders>
          </w:tcPr>
          <w:p w:rsidR="009A3AFE" w:rsidRPr="00AA58CA" w:rsidRDefault="009A3AFE" w:rsidP="009A3AFE">
            <w:pPr>
              <w:jc w:val="right"/>
            </w:pPr>
            <w:r>
              <w:t>-</w:t>
            </w:r>
          </w:p>
        </w:tc>
        <w:tc>
          <w:tcPr>
            <w:tcW w:w="550" w:type="dxa"/>
            <w:tcBorders>
              <w:right w:val="single" w:sz="18" w:space="0" w:color="FFFFFF" w:themeColor="background1"/>
            </w:tcBorders>
          </w:tcPr>
          <w:p w:rsidR="009A3AFE" w:rsidRPr="00AA58CA" w:rsidRDefault="009A3AFE" w:rsidP="009A3AFE">
            <w:pPr>
              <w:jc w:val="right"/>
            </w:pPr>
          </w:p>
        </w:tc>
        <w:tc>
          <w:tcPr>
            <w:tcW w:w="1270" w:type="dxa"/>
            <w:tcBorders>
              <w:left w:val="single" w:sz="18" w:space="0" w:color="FFFFFF" w:themeColor="background1"/>
            </w:tcBorders>
          </w:tcPr>
          <w:p w:rsidR="009A3AFE" w:rsidRPr="00AA58CA" w:rsidRDefault="009A3AFE" w:rsidP="009A3AFE">
            <w:pPr>
              <w:jc w:val="right"/>
            </w:pPr>
            <w:r>
              <w:t>3.2</w:t>
            </w:r>
          </w:p>
        </w:tc>
      </w:tr>
      <w:tr w:rsidR="009A3AFE" w:rsidRPr="00AA58CA" w:rsidTr="009A3AFE">
        <w:tc>
          <w:tcPr>
            <w:tcW w:w="4814" w:type="dxa"/>
            <w:gridSpan w:val="2"/>
          </w:tcPr>
          <w:p w:rsidR="009A3AFE" w:rsidRPr="006018C2" w:rsidRDefault="009A3AFE" w:rsidP="009A3AFE">
            <w:pPr>
              <w:jc w:val="both"/>
              <w:rPr>
                <w:b/>
              </w:rPr>
            </w:pPr>
            <w:r w:rsidRPr="006018C2">
              <w:rPr>
                <w:b/>
              </w:rPr>
              <w:t>Total Financial Liabilities</w:t>
            </w:r>
          </w:p>
        </w:tc>
        <w:tc>
          <w:tcPr>
            <w:tcW w:w="1343" w:type="dxa"/>
          </w:tcPr>
          <w:p w:rsidR="009A3AFE" w:rsidRPr="006018C2" w:rsidRDefault="009A3AFE" w:rsidP="009A3AFE">
            <w:pPr>
              <w:jc w:val="right"/>
              <w:rPr>
                <w:b/>
              </w:rPr>
            </w:pPr>
            <w:r>
              <w:rPr>
                <w:b/>
              </w:rPr>
              <w:t>1.6</w:t>
            </w:r>
          </w:p>
        </w:tc>
        <w:tc>
          <w:tcPr>
            <w:tcW w:w="817" w:type="dxa"/>
            <w:tcBorders>
              <w:right w:val="single" w:sz="18" w:space="0" w:color="FFFFFF" w:themeColor="background1"/>
            </w:tcBorders>
          </w:tcPr>
          <w:p w:rsidR="009A3AFE" w:rsidRPr="006018C2" w:rsidRDefault="009A3AFE" w:rsidP="009A3AFE">
            <w:pPr>
              <w:jc w:val="right"/>
              <w:rPr>
                <w:b/>
              </w:rPr>
            </w:pPr>
          </w:p>
        </w:tc>
        <w:tc>
          <w:tcPr>
            <w:tcW w:w="1405" w:type="dxa"/>
            <w:tcBorders>
              <w:left w:val="single" w:sz="18" w:space="0" w:color="FFFFFF" w:themeColor="background1"/>
            </w:tcBorders>
          </w:tcPr>
          <w:p w:rsidR="009A3AFE" w:rsidRPr="006018C2" w:rsidRDefault="009A3AFE" w:rsidP="009A3AFE">
            <w:pPr>
              <w:jc w:val="right"/>
              <w:rPr>
                <w:b/>
              </w:rPr>
            </w:pPr>
            <w:r>
              <w:rPr>
                <w:b/>
              </w:rPr>
              <w:t>-</w:t>
            </w:r>
          </w:p>
        </w:tc>
        <w:tc>
          <w:tcPr>
            <w:tcW w:w="550" w:type="dxa"/>
            <w:tcBorders>
              <w:right w:val="single" w:sz="18" w:space="0" w:color="FFFFFF" w:themeColor="background1"/>
            </w:tcBorders>
          </w:tcPr>
          <w:p w:rsidR="009A3AFE" w:rsidRPr="006018C2" w:rsidRDefault="009A3AFE" w:rsidP="009A3AFE">
            <w:pPr>
              <w:jc w:val="right"/>
              <w:rPr>
                <w:b/>
              </w:rPr>
            </w:pPr>
          </w:p>
        </w:tc>
        <w:tc>
          <w:tcPr>
            <w:tcW w:w="1270" w:type="dxa"/>
            <w:tcBorders>
              <w:left w:val="single" w:sz="18" w:space="0" w:color="FFFFFF" w:themeColor="background1"/>
            </w:tcBorders>
          </w:tcPr>
          <w:p w:rsidR="009A3AFE" w:rsidRPr="006018C2" w:rsidRDefault="009A3AFE" w:rsidP="009A3AFE">
            <w:pPr>
              <w:jc w:val="right"/>
              <w:rPr>
                <w:b/>
              </w:rPr>
            </w:pPr>
            <w:r>
              <w:rPr>
                <w:b/>
              </w:rPr>
              <w:t>3.2</w:t>
            </w:r>
          </w:p>
        </w:tc>
        <w:tc>
          <w:tcPr>
            <w:tcW w:w="550" w:type="dxa"/>
          </w:tcPr>
          <w:p w:rsidR="009A3AFE" w:rsidRPr="00B736A4" w:rsidRDefault="009A3AFE" w:rsidP="009A3AFE">
            <w:pPr>
              <w:jc w:val="right"/>
              <w:rPr>
                <w:b/>
              </w:rPr>
            </w:pPr>
          </w:p>
        </w:tc>
      </w:tr>
    </w:tbl>
    <w:p w:rsidR="009A3AFE" w:rsidRDefault="009A3AFE" w:rsidP="009A3AFE"/>
    <w:p w:rsidR="009A3AFE" w:rsidRPr="00AA58CA" w:rsidRDefault="009A3AFE" w:rsidP="009A3AFE">
      <w:pPr>
        <w:spacing w:after="120"/>
        <w:jc w:val="both"/>
      </w:pPr>
    </w:p>
    <w:tbl>
      <w:tblPr>
        <w:tblStyle w:val="TableGrid"/>
        <w:tblW w:w="10199"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4"/>
        <w:gridCol w:w="709"/>
        <w:gridCol w:w="1276"/>
        <w:gridCol w:w="709"/>
        <w:gridCol w:w="1275"/>
        <w:gridCol w:w="709"/>
        <w:gridCol w:w="1127"/>
      </w:tblGrid>
      <w:tr w:rsidR="009A3AFE" w:rsidTr="009A3AFE">
        <w:tc>
          <w:tcPr>
            <w:tcW w:w="4394" w:type="dxa"/>
          </w:tcPr>
          <w:p w:rsidR="009A3AFE" w:rsidRDefault="009A3AFE" w:rsidP="009A3AFE">
            <w:pPr>
              <w:jc w:val="both"/>
              <w:rPr>
                <w:b/>
              </w:rPr>
            </w:pPr>
            <w:r>
              <w:rPr>
                <w:b/>
              </w:rPr>
              <w:t>2011</w:t>
            </w:r>
          </w:p>
        </w:tc>
        <w:tc>
          <w:tcPr>
            <w:tcW w:w="1985" w:type="dxa"/>
            <w:gridSpan w:val="2"/>
          </w:tcPr>
          <w:p w:rsidR="009A3AFE" w:rsidRDefault="009A3AFE" w:rsidP="009A3AFE">
            <w:pPr>
              <w:jc w:val="right"/>
              <w:rPr>
                <w:b/>
              </w:rPr>
            </w:pPr>
            <w:r>
              <w:rPr>
                <w:b/>
              </w:rPr>
              <w:t>Designated at fair value through profit or loss</w:t>
            </w:r>
          </w:p>
        </w:tc>
        <w:tc>
          <w:tcPr>
            <w:tcW w:w="1984" w:type="dxa"/>
            <w:gridSpan w:val="2"/>
          </w:tcPr>
          <w:p w:rsidR="009A3AFE" w:rsidRDefault="009A3AFE" w:rsidP="009A3AFE">
            <w:pPr>
              <w:jc w:val="right"/>
              <w:rPr>
                <w:b/>
              </w:rPr>
            </w:pPr>
            <w:r>
              <w:rPr>
                <w:b/>
              </w:rPr>
              <w:t>Loans and receivables</w:t>
            </w:r>
          </w:p>
        </w:tc>
        <w:tc>
          <w:tcPr>
            <w:tcW w:w="1836" w:type="dxa"/>
            <w:gridSpan w:val="2"/>
          </w:tcPr>
          <w:p w:rsidR="009A3AFE" w:rsidRDefault="009A3AFE" w:rsidP="009A3AFE">
            <w:pPr>
              <w:jc w:val="right"/>
              <w:rPr>
                <w:b/>
              </w:rPr>
            </w:pPr>
            <w:r>
              <w:rPr>
                <w:b/>
              </w:rPr>
              <w:t>Financial liabilities at amortised cost</w:t>
            </w:r>
          </w:p>
        </w:tc>
      </w:tr>
      <w:tr w:rsidR="009A3AFE" w:rsidTr="009A3AFE">
        <w:tc>
          <w:tcPr>
            <w:tcW w:w="4394" w:type="dxa"/>
          </w:tcPr>
          <w:p w:rsidR="009A3AFE" w:rsidRDefault="009A3AFE" w:rsidP="009A3AFE">
            <w:pPr>
              <w:jc w:val="both"/>
              <w:rPr>
                <w:b/>
              </w:rPr>
            </w:pPr>
          </w:p>
        </w:tc>
        <w:tc>
          <w:tcPr>
            <w:tcW w:w="1985" w:type="dxa"/>
            <w:gridSpan w:val="2"/>
          </w:tcPr>
          <w:p w:rsidR="009A3AFE" w:rsidRDefault="009A3AFE" w:rsidP="009A3AFE">
            <w:pPr>
              <w:jc w:val="right"/>
              <w:rPr>
                <w:b/>
              </w:rPr>
            </w:pPr>
            <w:r>
              <w:rPr>
                <w:b/>
              </w:rPr>
              <w:t>£m</w:t>
            </w:r>
          </w:p>
          <w:p w:rsidR="009A3AFE" w:rsidRDefault="009A3AFE" w:rsidP="009A3AFE">
            <w:pPr>
              <w:jc w:val="right"/>
              <w:rPr>
                <w:b/>
              </w:rPr>
            </w:pPr>
          </w:p>
        </w:tc>
        <w:tc>
          <w:tcPr>
            <w:tcW w:w="1984" w:type="dxa"/>
            <w:gridSpan w:val="2"/>
          </w:tcPr>
          <w:p w:rsidR="009A3AFE" w:rsidRDefault="009A3AFE" w:rsidP="009A3AFE">
            <w:pPr>
              <w:jc w:val="right"/>
              <w:rPr>
                <w:b/>
              </w:rPr>
            </w:pPr>
            <w:r>
              <w:rPr>
                <w:b/>
              </w:rPr>
              <w:t>£m</w:t>
            </w:r>
          </w:p>
        </w:tc>
        <w:tc>
          <w:tcPr>
            <w:tcW w:w="1836" w:type="dxa"/>
            <w:gridSpan w:val="2"/>
          </w:tcPr>
          <w:p w:rsidR="009A3AFE" w:rsidRDefault="009A3AFE" w:rsidP="009A3AFE">
            <w:pPr>
              <w:jc w:val="right"/>
              <w:rPr>
                <w:b/>
              </w:rPr>
            </w:pPr>
            <w:r>
              <w:rPr>
                <w:b/>
              </w:rPr>
              <w:t>£m</w:t>
            </w:r>
          </w:p>
        </w:tc>
      </w:tr>
      <w:tr w:rsidR="009A3AFE" w:rsidRPr="00AA58CA" w:rsidTr="009A3AFE">
        <w:tc>
          <w:tcPr>
            <w:tcW w:w="4394" w:type="dxa"/>
          </w:tcPr>
          <w:p w:rsidR="009A3AFE" w:rsidRPr="00EB2694" w:rsidRDefault="009A3AFE" w:rsidP="009A3AFE">
            <w:pPr>
              <w:jc w:val="both"/>
              <w:rPr>
                <w:b/>
              </w:rPr>
            </w:pPr>
            <w:r w:rsidRPr="00EB2694">
              <w:rPr>
                <w:b/>
              </w:rPr>
              <w:t>Financial assets</w:t>
            </w:r>
          </w:p>
        </w:tc>
        <w:tc>
          <w:tcPr>
            <w:tcW w:w="709" w:type="dxa"/>
            <w:tcBorders>
              <w:right w:val="single" w:sz="18" w:space="0" w:color="FFFFFF" w:themeColor="background1"/>
            </w:tcBorders>
          </w:tcPr>
          <w:p w:rsidR="009A3AFE" w:rsidRPr="00AA58CA" w:rsidRDefault="009A3AFE" w:rsidP="009A3AFE">
            <w:pPr>
              <w:jc w:val="right"/>
            </w:pPr>
          </w:p>
        </w:tc>
        <w:tc>
          <w:tcPr>
            <w:tcW w:w="1276" w:type="dxa"/>
            <w:tcBorders>
              <w:left w:val="single" w:sz="18" w:space="0" w:color="FFFFFF" w:themeColor="background1"/>
            </w:tcBorders>
          </w:tcPr>
          <w:p w:rsidR="009A3AFE" w:rsidRPr="00AA58CA" w:rsidRDefault="009A3AFE" w:rsidP="009A3AFE">
            <w:pPr>
              <w:jc w:val="right"/>
            </w:pPr>
          </w:p>
        </w:tc>
        <w:tc>
          <w:tcPr>
            <w:tcW w:w="709" w:type="dxa"/>
            <w:tcBorders>
              <w:right w:val="single" w:sz="18" w:space="0" w:color="FFFFFF" w:themeColor="background1"/>
            </w:tcBorders>
          </w:tcPr>
          <w:p w:rsidR="009A3AFE" w:rsidRPr="00AA58CA" w:rsidRDefault="009A3AFE" w:rsidP="009A3AFE">
            <w:pPr>
              <w:jc w:val="right"/>
            </w:pPr>
          </w:p>
        </w:tc>
        <w:tc>
          <w:tcPr>
            <w:tcW w:w="1275" w:type="dxa"/>
            <w:tcBorders>
              <w:left w:val="single" w:sz="18" w:space="0" w:color="FFFFFF" w:themeColor="background1"/>
            </w:tcBorders>
          </w:tcPr>
          <w:p w:rsidR="009A3AFE" w:rsidRPr="00AA58CA" w:rsidRDefault="009A3AFE" w:rsidP="009A3AFE">
            <w:pPr>
              <w:jc w:val="right"/>
            </w:pPr>
            <w:r>
              <w:t>-</w:t>
            </w:r>
          </w:p>
        </w:tc>
        <w:tc>
          <w:tcPr>
            <w:tcW w:w="709" w:type="dxa"/>
            <w:tcBorders>
              <w:right w:val="single" w:sz="18" w:space="0" w:color="FFFFFF" w:themeColor="background1"/>
            </w:tcBorders>
          </w:tcPr>
          <w:p w:rsidR="009A3AFE" w:rsidRPr="00AA58CA" w:rsidRDefault="009A3AFE" w:rsidP="009A3AFE">
            <w:pPr>
              <w:jc w:val="right"/>
            </w:pPr>
          </w:p>
        </w:tc>
        <w:tc>
          <w:tcPr>
            <w:tcW w:w="1127" w:type="dxa"/>
            <w:tcBorders>
              <w:left w:val="single" w:sz="18" w:space="0" w:color="FFFFFF" w:themeColor="background1"/>
            </w:tcBorders>
          </w:tcPr>
          <w:p w:rsidR="009A3AFE" w:rsidRPr="00AA58CA" w:rsidRDefault="009A3AFE" w:rsidP="009A3AFE">
            <w:pPr>
              <w:jc w:val="right"/>
            </w:pPr>
            <w:r>
              <w:t>-</w:t>
            </w:r>
          </w:p>
        </w:tc>
      </w:tr>
      <w:tr w:rsidR="009A3AFE" w:rsidRPr="00AA58CA" w:rsidTr="009A3AFE">
        <w:tc>
          <w:tcPr>
            <w:tcW w:w="4394" w:type="dxa"/>
          </w:tcPr>
          <w:p w:rsidR="009A3AFE" w:rsidRDefault="009A3AFE" w:rsidP="009A3AFE">
            <w:pPr>
              <w:jc w:val="both"/>
            </w:pPr>
            <w:r>
              <w:t>Fixed interest securities</w:t>
            </w:r>
          </w:p>
        </w:tc>
        <w:tc>
          <w:tcPr>
            <w:tcW w:w="709" w:type="dxa"/>
            <w:tcBorders>
              <w:right w:val="single" w:sz="18" w:space="0" w:color="FFFFFF" w:themeColor="background1"/>
            </w:tcBorders>
          </w:tcPr>
          <w:p w:rsidR="009A3AFE" w:rsidRPr="00AA58CA" w:rsidRDefault="009A3AFE" w:rsidP="009A3AFE">
            <w:pPr>
              <w:jc w:val="right"/>
            </w:pPr>
          </w:p>
        </w:tc>
        <w:tc>
          <w:tcPr>
            <w:tcW w:w="1276" w:type="dxa"/>
            <w:tcBorders>
              <w:left w:val="single" w:sz="18" w:space="0" w:color="FFFFFF" w:themeColor="background1"/>
            </w:tcBorders>
          </w:tcPr>
          <w:p w:rsidR="009A3AFE" w:rsidRPr="00AA58CA" w:rsidRDefault="009A3AFE" w:rsidP="009A3AFE">
            <w:pPr>
              <w:jc w:val="right"/>
            </w:pPr>
            <w:r>
              <w:t>559.1</w:t>
            </w:r>
          </w:p>
        </w:tc>
        <w:tc>
          <w:tcPr>
            <w:tcW w:w="709" w:type="dxa"/>
            <w:tcBorders>
              <w:right w:val="single" w:sz="18" w:space="0" w:color="FFFFFF" w:themeColor="background1"/>
            </w:tcBorders>
          </w:tcPr>
          <w:p w:rsidR="009A3AFE" w:rsidRPr="00AA58CA" w:rsidRDefault="009A3AFE" w:rsidP="009A3AFE">
            <w:pPr>
              <w:jc w:val="right"/>
            </w:pPr>
          </w:p>
        </w:tc>
        <w:tc>
          <w:tcPr>
            <w:tcW w:w="1275" w:type="dxa"/>
            <w:tcBorders>
              <w:left w:val="single" w:sz="18" w:space="0" w:color="FFFFFF" w:themeColor="background1"/>
            </w:tcBorders>
          </w:tcPr>
          <w:p w:rsidR="009A3AFE" w:rsidRPr="00AA58CA" w:rsidRDefault="009A3AFE" w:rsidP="009A3AFE">
            <w:pPr>
              <w:jc w:val="right"/>
            </w:pPr>
            <w:r>
              <w:t>-</w:t>
            </w:r>
          </w:p>
        </w:tc>
        <w:tc>
          <w:tcPr>
            <w:tcW w:w="709" w:type="dxa"/>
            <w:tcBorders>
              <w:bottom w:val="single" w:sz="18" w:space="0" w:color="FFFFFF" w:themeColor="background1"/>
              <w:right w:val="single" w:sz="18" w:space="0" w:color="FFFFFF" w:themeColor="background1"/>
            </w:tcBorders>
          </w:tcPr>
          <w:p w:rsidR="009A3AFE" w:rsidRPr="00AA58CA" w:rsidRDefault="009A3AFE" w:rsidP="009A3AFE">
            <w:pPr>
              <w:jc w:val="right"/>
            </w:pPr>
          </w:p>
        </w:tc>
        <w:tc>
          <w:tcPr>
            <w:tcW w:w="1127" w:type="dxa"/>
            <w:tcBorders>
              <w:left w:val="single" w:sz="18" w:space="0" w:color="FFFFFF" w:themeColor="background1"/>
            </w:tcBorders>
          </w:tcPr>
          <w:p w:rsidR="009A3AFE" w:rsidRPr="00AA58CA" w:rsidRDefault="009A3AFE" w:rsidP="009A3AFE">
            <w:pPr>
              <w:jc w:val="right"/>
            </w:pPr>
            <w:r>
              <w:t>-</w:t>
            </w:r>
          </w:p>
        </w:tc>
      </w:tr>
      <w:tr w:rsidR="009A3AFE" w:rsidRPr="00AA58CA" w:rsidTr="009A3AFE">
        <w:tc>
          <w:tcPr>
            <w:tcW w:w="4394" w:type="dxa"/>
          </w:tcPr>
          <w:p w:rsidR="009A3AFE" w:rsidRDefault="009A3AFE" w:rsidP="009A3AFE">
            <w:pPr>
              <w:jc w:val="both"/>
            </w:pPr>
            <w:r>
              <w:t>Equities</w:t>
            </w:r>
          </w:p>
        </w:tc>
        <w:tc>
          <w:tcPr>
            <w:tcW w:w="709" w:type="dxa"/>
            <w:tcBorders>
              <w:right w:val="single" w:sz="18" w:space="0" w:color="FFFFFF" w:themeColor="background1"/>
            </w:tcBorders>
          </w:tcPr>
          <w:p w:rsidR="009A3AFE" w:rsidRPr="00AA58CA" w:rsidRDefault="009A3AFE" w:rsidP="009A3AFE">
            <w:pPr>
              <w:jc w:val="right"/>
            </w:pPr>
          </w:p>
        </w:tc>
        <w:tc>
          <w:tcPr>
            <w:tcW w:w="1276" w:type="dxa"/>
            <w:tcBorders>
              <w:left w:val="single" w:sz="18" w:space="0" w:color="FFFFFF" w:themeColor="background1"/>
            </w:tcBorders>
          </w:tcPr>
          <w:p w:rsidR="009A3AFE" w:rsidRPr="00AA58CA" w:rsidRDefault="009A3AFE" w:rsidP="009A3AFE">
            <w:pPr>
              <w:jc w:val="right"/>
            </w:pPr>
            <w:r>
              <w:t>1,735.1</w:t>
            </w:r>
          </w:p>
        </w:tc>
        <w:tc>
          <w:tcPr>
            <w:tcW w:w="709" w:type="dxa"/>
            <w:tcBorders>
              <w:right w:val="single" w:sz="18" w:space="0" w:color="FFFFFF" w:themeColor="background1"/>
            </w:tcBorders>
          </w:tcPr>
          <w:p w:rsidR="009A3AFE" w:rsidRPr="00AA58CA" w:rsidRDefault="009A3AFE" w:rsidP="009A3AFE">
            <w:pPr>
              <w:jc w:val="right"/>
            </w:pPr>
          </w:p>
        </w:tc>
        <w:tc>
          <w:tcPr>
            <w:tcW w:w="1275" w:type="dxa"/>
            <w:tcBorders>
              <w:left w:val="single" w:sz="18" w:space="0" w:color="FFFFFF" w:themeColor="background1"/>
            </w:tcBorders>
          </w:tcPr>
          <w:p w:rsidR="009A3AFE" w:rsidRPr="00AA58CA" w:rsidRDefault="009A3AFE" w:rsidP="009A3AFE">
            <w:pPr>
              <w:jc w:val="right"/>
            </w:pPr>
            <w:r>
              <w:t>-</w:t>
            </w:r>
          </w:p>
        </w:tc>
        <w:tc>
          <w:tcPr>
            <w:tcW w:w="709" w:type="dxa"/>
            <w:tcBorders>
              <w:top w:val="single" w:sz="18" w:space="0" w:color="FFFFFF" w:themeColor="background1"/>
              <w:right w:val="single" w:sz="18" w:space="0" w:color="FFFFFF" w:themeColor="background1"/>
            </w:tcBorders>
          </w:tcPr>
          <w:p w:rsidR="009A3AFE" w:rsidRPr="00AA58CA" w:rsidRDefault="009A3AFE" w:rsidP="009A3AFE">
            <w:pPr>
              <w:jc w:val="right"/>
            </w:pPr>
          </w:p>
        </w:tc>
        <w:tc>
          <w:tcPr>
            <w:tcW w:w="1127" w:type="dxa"/>
            <w:tcBorders>
              <w:left w:val="single" w:sz="18" w:space="0" w:color="FFFFFF" w:themeColor="background1"/>
            </w:tcBorders>
          </w:tcPr>
          <w:p w:rsidR="009A3AFE" w:rsidRPr="00AA58CA" w:rsidRDefault="009A3AFE" w:rsidP="009A3AFE">
            <w:pPr>
              <w:jc w:val="right"/>
            </w:pPr>
            <w:r>
              <w:t>-</w:t>
            </w:r>
          </w:p>
        </w:tc>
      </w:tr>
      <w:tr w:rsidR="009A3AFE" w:rsidRPr="00AA58CA" w:rsidTr="009A3AFE">
        <w:tc>
          <w:tcPr>
            <w:tcW w:w="4394" w:type="dxa"/>
          </w:tcPr>
          <w:p w:rsidR="009A3AFE" w:rsidRDefault="009A3AFE" w:rsidP="009A3AFE">
            <w:pPr>
              <w:jc w:val="both"/>
            </w:pPr>
            <w:r>
              <w:t>Index linked securities</w:t>
            </w:r>
          </w:p>
        </w:tc>
        <w:tc>
          <w:tcPr>
            <w:tcW w:w="709" w:type="dxa"/>
            <w:tcBorders>
              <w:right w:val="single" w:sz="18" w:space="0" w:color="FFFFFF" w:themeColor="background1"/>
            </w:tcBorders>
          </w:tcPr>
          <w:p w:rsidR="009A3AFE" w:rsidRPr="00AA58CA" w:rsidRDefault="009A3AFE" w:rsidP="009A3AFE">
            <w:pPr>
              <w:jc w:val="right"/>
            </w:pPr>
          </w:p>
        </w:tc>
        <w:tc>
          <w:tcPr>
            <w:tcW w:w="1276" w:type="dxa"/>
            <w:tcBorders>
              <w:left w:val="single" w:sz="18" w:space="0" w:color="FFFFFF" w:themeColor="background1"/>
            </w:tcBorders>
          </w:tcPr>
          <w:p w:rsidR="009A3AFE" w:rsidRPr="00AA58CA" w:rsidRDefault="009A3AFE" w:rsidP="009A3AFE">
            <w:pPr>
              <w:jc w:val="right"/>
            </w:pPr>
            <w:r>
              <w:t>141.0</w:t>
            </w:r>
          </w:p>
        </w:tc>
        <w:tc>
          <w:tcPr>
            <w:tcW w:w="709" w:type="dxa"/>
            <w:tcBorders>
              <w:right w:val="single" w:sz="18" w:space="0" w:color="FFFFFF" w:themeColor="background1"/>
            </w:tcBorders>
          </w:tcPr>
          <w:p w:rsidR="009A3AFE" w:rsidRPr="00AA58CA" w:rsidRDefault="009A3AFE" w:rsidP="009A3AFE">
            <w:pPr>
              <w:jc w:val="right"/>
            </w:pPr>
          </w:p>
        </w:tc>
        <w:tc>
          <w:tcPr>
            <w:tcW w:w="1275" w:type="dxa"/>
            <w:tcBorders>
              <w:left w:val="single" w:sz="18" w:space="0" w:color="FFFFFF" w:themeColor="background1"/>
            </w:tcBorders>
          </w:tcPr>
          <w:p w:rsidR="009A3AFE" w:rsidRPr="00AA58CA" w:rsidRDefault="009A3AFE" w:rsidP="009A3AFE">
            <w:pPr>
              <w:jc w:val="right"/>
            </w:pPr>
            <w:r>
              <w:t>-</w:t>
            </w:r>
          </w:p>
        </w:tc>
        <w:tc>
          <w:tcPr>
            <w:tcW w:w="709" w:type="dxa"/>
            <w:tcBorders>
              <w:right w:val="single" w:sz="18" w:space="0" w:color="FFFFFF" w:themeColor="background1"/>
            </w:tcBorders>
          </w:tcPr>
          <w:p w:rsidR="009A3AFE" w:rsidRPr="00AA58CA" w:rsidRDefault="009A3AFE" w:rsidP="009A3AFE">
            <w:pPr>
              <w:jc w:val="right"/>
            </w:pPr>
          </w:p>
        </w:tc>
        <w:tc>
          <w:tcPr>
            <w:tcW w:w="1127" w:type="dxa"/>
            <w:tcBorders>
              <w:left w:val="single" w:sz="18" w:space="0" w:color="FFFFFF" w:themeColor="background1"/>
            </w:tcBorders>
          </w:tcPr>
          <w:p w:rsidR="009A3AFE" w:rsidRPr="00AA58CA" w:rsidRDefault="009A3AFE" w:rsidP="009A3AFE">
            <w:pPr>
              <w:jc w:val="right"/>
            </w:pPr>
            <w:r>
              <w:t>-</w:t>
            </w:r>
          </w:p>
        </w:tc>
      </w:tr>
      <w:tr w:rsidR="009A3AFE" w:rsidRPr="00AA58CA" w:rsidTr="009A3AFE">
        <w:tc>
          <w:tcPr>
            <w:tcW w:w="4394" w:type="dxa"/>
          </w:tcPr>
          <w:p w:rsidR="009A3AFE" w:rsidRDefault="009A3AFE" w:rsidP="009A3AFE">
            <w:pPr>
              <w:jc w:val="both"/>
            </w:pPr>
            <w:r>
              <w:t>Pooled investment vehicles</w:t>
            </w:r>
          </w:p>
        </w:tc>
        <w:tc>
          <w:tcPr>
            <w:tcW w:w="709" w:type="dxa"/>
            <w:tcBorders>
              <w:right w:val="single" w:sz="18" w:space="0" w:color="FFFFFF" w:themeColor="background1"/>
            </w:tcBorders>
          </w:tcPr>
          <w:p w:rsidR="009A3AFE" w:rsidRPr="00AA58CA" w:rsidRDefault="009A3AFE" w:rsidP="009A3AFE">
            <w:pPr>
              <w:jc w:val="right"/>
            </w:pPr>
          </w:p>
        </w:tc>
        <w:tc>
          <w:tcPr>
            <w:tcW w:w="1276" w:type="dxa"/>
            <w:tcBorders>
              <w:left w:val="single" w:sz="18" w:space="0" w:color="FFFFFF" w:themeColor="background1"/>
            </w:tcBorders>
          </w:tcPr>
          <w:p w:rsidR="009A3AFE" w:rsidRPr="00AA58CA" w:rsidRDefault="009A3AFE" w:rsidP="009A3AFE">
            <w:pPr>
              <w:jc w:val="right"/>
            </w:pPr>
            <w:r>
              <w:t>1,395.5</w:t>
            </w:r>
          </w:p>
        </w:tc>
        <w:tc>
          <w:tcPr>
            <w:tcW w:w="709" w:type="dxa"/>
            <w:tcBorders>
              <w:right w:val="single" w:sz="18" w:space="0" w:color="FFFFFF" w:themeColor="background1"/>
            </w:tcBorders>
          </w:tcPr>
          <w:p w:rsidR="009A3AFE" w:rsidRPr="00AA58CA" w:rsidRDefault="009A3AFE" w:rsidP="009A3AFE">
            <w:pPr>
              <w:jc w:val="right"/>
            </w:pPr>
          </w:p>
        </w:tc>
        <w:tc>
          <w:tcPr>
            <w:tcW w:w="1275" w:type="dxa"/>
            <w:tcBorders>
              <w:left w:val="single" w:sz="18" w:space="0" w:color="FFFFFF" w:themeColor="background1"/>
            </w:tcBorders>
          </w:tcPr>
          <w:p w:rsidR="009A3AFE" w:rsidRPr="00AA58CA" w:rsidRDefault="009A3AFE" w:rsidP="009A3AFE">
            <w:pPr>
              <w:jc w:val="right"/>
            </w:pPr>
            <w:r>
              <w:t>-</w:t>
            </w:r>
          </w:p>
        </w:tc>
        <w:tc>
          <w:tcPr>
            <w:tcW w:w="709" w:type="dxa"/>
            <w:tcBorders>
              <w:right w:val="single" w:sz="18" w:space="0" w:color="FFFFFF" w:themeColor="background1"/>
            </w:tcBorders>
          </w:tcPr>
          <w:p w:rsidR="009A3AFE" w:rsidRPr="00AA58CA" w:rsidRDefault="009A3AFE" w:rsidP="009A3AFE">
            <w:pPr>
              <w:jc w:val="right"/>
            </w:pPr>
          </w:p>
        </w:tc>
        <w:tc>
          <w:tcPr>
            <w:tcW w:w="1127" w:type="dxa"/>
            <w:tcBorders>
              <w:left w:val="single" w:sz="18" w:space="0" w:color="FFFFFF" w:themeColor="background1"/>
            </w:tcBorders>
          </w:tcPr>
          <w:p w:rsidR="009A3AFE" w:rsidRPr="00AA58CA" w:rsidRDefault="009A3AFE" w:rsidP="009A3AFE">
            <w:pPr>
              <w:jc w:val="right"/>
            </w:pPr>
            <w:r>
              <w:t>-</w:t>
            </w:r>
          </w:p>
        </w:tc>
      </w:tr>
      <w:tr w:rsidR="009A3AFE" w:rsidRPr="00AA58CA" w:rsidTr="009A3AFE">
        <w:tc>
          <w:tcPr>
            <w:tcW w:w="4394" w:type="dxa"/>
          </w:tcPr>
          <w:p w:rsidR="009A3AFE" w:rsidRDefault="009A3AFE" w:rsidP="009A3AFE">
            <w:pPr>
              <w:jc w:val="both"/>
            </w:pPr>
            <w:r>
              <w:t>Derivative contracts</w:t>
            </w:r>
          </w:p>
        </w:tc>
        <w:tc>
          <w:tcPr>
            <w:tcW w:w="709" w:type="dxa"/>
            <w:tcBorders>
              <w:right w:val="single" w:sz="18" w:space="0" w:color="FFFFFF" w:themeColor="background1"/>
            </w:tcBorders>
          </w:tcPr>
          <w:p w:rsidR="009A3AFE" w:rsidRPr="00AA58CA" w:rsidRDefault="009A3AFE" w:rsidP="009A3AFE">
            <w:pPr>
              <w:jc w:val="right"/>
            </w:pPr>
          </w:p>
        </w:tc>
        <w:tc>
          <w:tcPr>
            <w:tcW w:w="1276" w:type="dxa"/>
            <w:tcBorders>
              <w:left w:val="single" w:sz="18" w:space="0" w:color="FFFFFF" w:themeColor="background1"/>
            </w:tcBorders>
          </w:tcPr>
          <w:p w:rsidR="009A3AFE" w:rsidRPr="00AA58CA" w:rsidRDefault="009A3AFE" w:rsidP="009A3AFE">
            <w:pPr>
              <w:jc w:val="right"/>
            </w:pPr>
            <w:r>
              <w:t>2.7</w:t>
            </w:r>
          </w:p>
        </w:tc>
        <w:tc>
          <w:tcPr>
            <w:tcW w:w="709" w:type="dxa"/>
            <w:tcBorders>
              <w:right w:val="single" w:sz="18" w:space="0" w:color="FFFFFF" w:themeColor="background1"/>
            </w:tcBorders>
          </w:tcPr>
          <w:p w:rsidR="009A3AFE" w:rsidRPr="00AA58CA" w:rsidRDefault="009A3AFE" w:rsidP="009A3AFE">
            <w:pPr>
              <w:jc w:val="right"/>
            </w:pPr>
          </w:p>
        </w:tc>
        <w:tc>
          <w:tcPr>
            <w:tcW w:w="1275" w:type="dxa"/>
            <w:tcBorders>
              <w:left w:val="single" w:sz="18" w:space="0" w:color="FFFFFF" w:themeColor="background1"/>
            </w:tcBorders>
          </w:tcPr>
          <w:p w:rsidR="009A3AFE" w:rsidRPr="00AA58CA" w:rsidRDefault="009A3AFE" w:rsidP="009A3AFE">
            <w:pPr>
              <w:jc w:val="right"/>
            </w:pPr>
            <w:r>
              <w:t>-</w:t>
            </w:r>
          </w:p>
        </w:tc>
        <w:tc>
          <w:tcPr>
            <w:tcW w:w="709" w:type="dxa"/>
            <w:tcBorders>
              <w:right w:val="single" w:sz="18" w:space="0" w:color="FFFFFF" w:themeColor="background1"/>
            </w:tcBorders>
          </w:tcPr>
          <w:p w:rsidR="009A3AFE" w:rsidRPr="00AA58CA" w:rsidRDefault="009A3AFE" w:rsidP="009A3AFE">
            <w:pPr>
              <w:jc w:val="right"/>
            </w:pPr>
          </w:p>
        </w:tc>
        <w:tc>
          <w:tcPr>
            <w:tcW w:w="1127" w:type="dxa"/>
            <w:tcBorders>
              <w:left w:val="single" w:sz="18" w:space="0" w:color="FFFFFF" w:themeColor="background1"/>
            </w:tcBorders>
          </w:tcPr>
          <w:p w:rsidR="009A3AFE" w:rsidRPr="00AA58CA" w:rsidRDefault="009A3AFE" w:rsidP="009A3AFE">
            <w:pPr>
              <w:jc w:val="right"/>
            </w:pPr>
            <w:r>
              <w:t>-</w:t>
            </w:r>
          </w:p>
        </w:tc>
      </w:tr>
      <w:tr w:rsidR="009A3AFE" w:rsidRPr="00AA58CA" w:rsidTr="009A3AFE">
        <w:tc>
          <w:tcPr>
            <w:tcW w:w="4394" w:type="dxa"/>
          </w:tcPr>
          <w:p w:rsidR="009A3AFE" w:rsidRDefault="009A3AFE" w:rsidP="009A3AFE">
            <w:pPr>
              <w:jc w:val="both"/>
            </w:pPr>
            <w:r>
              <w:t>Cash deposits</w:t>
            </w:r>
          </w:p>
        </w:tc>
        <w:tc>
          <w:tcPr>
            <w:tcW w:w="709" w:type="dxa"/>
            <w:tcBorders>
              <w:right w:val="single" w:sz="18" w:space="0" w:color="FFFFFF" w:themeColor="background1"/>
            </w:tcBorders>
          </w:tcPr>
          <w:p w:rsidR="009A3AFE" w:rsidRPr="00AA58CA" w:rsidRDefault="009A3AFE" w:rsidP="009A3AFE">
            <w:pPr>
              <w:jc w:val="right"/>
            </w:pPr>
          </w:p>
        </w:tc>
        <w:tc>
          <w:tcPr>
            <w:tcW w:w="1276" w:type="dxa"/>
            <w:tcBorders>
              <w:left w:val="single" w:sz="18" w:space="0" w:color="FFFFFF" w:themeColor="background1"/>
            </w:tcBorders>
          </w:tcPr>
          <w:p w:rsidR="009A3AFE" w:rsidRPr="00AA58CA" w:rsidRDefault="009A3AFE" w:rsidP="009A3AFE">
            <w:pPr>
              <w:jc w:val="right"/>
            </w:pPr>
            <w:r>
              <w:t>-</w:t>
            </w:r>
          </w:p>
        </w:tc>
        <w:tc>
          <w:tcPr>
            <w:tcW w:w="709" w:type="dxa"/>
            <w:tcBorders>
              <w:right w:val="single" w:sz="18" w:space="0" w:color="FFFFFF" w:themeColor="background1"/>
            </w:tcBorders>
          </w:tcPr>
          <w:p w:rsidR="009A3AFE" w:rsidRPr="00AA58CA" w:rsidRDefault="009A3AFE" w:rsidP="009A3AFE">
            <w:pPr>
              <w:jc w:val="right"/>
            </w:pPr>
          </w:p>
        </w:tc>
        <w:tc>
          <w:tcPr>
            <w:tcW w:w="1275" w:type="dxa"/>
            <w:tcBorders>
              <w:left w:val="single" w:sz="18" w:space="0" w:color="FFFFFF" w:themeColor="background1"/>
            </w:tcBorders>
          </w:tcPr>
          <w:p w:rsidR="009A3AFE" w:rsidRPr="00AA58CA" w:rsidRDefault="009A3AFE" w:rsidP="009A3AFE">
            <w:pPr>
              <w:jc w:val="right"/>
            </w:pPr>
            <w:r>
              <w:t>36.6</w:t>
            </w:r>
          </w:p>
        </w:tc>
        <w:tc>
          <w:tcPr>
            <w:tcW w:w="709" w:type="dxa"/>
            <w:tcBorders>
              <w:right w:val="single" w:sz="18" w:space="0" w:color="FFFFFF" w:themeColor="background1"/>
            </w:tcBorders>
          </w:tcPr>
          <w:p w:rsidR="009A3AFE" w:rsidRPr="00AA58CA" w:rsidRDefault="009A3AFE" w:rsidP="009A3AFE">
            <w:pPr>
              <w:jc w:val="right"/>
            </w:pPr>
          </w:p>
        </w:tc>
        <w:tc>
          <w:tcPr>
            <w:tcW w:w="1127" w:type="dxa"/>
            <w:tcBorders>
              <w:left w:val="single" w:sz="18" w:space="0" w:color="FFFFFF" w:themeColor="background1"/>
            </w:tcBorders>
          </w:tcPr>
          <w:p w:rsidR="009A3AFE" w:rsidRPr="00AA58CA" w:rsidRDefault="009A3AFE" w:rsidP="009A3AFE">
            <w:pPr>
              <w:jc w:val="right"/>
            </w:pPr>
            <w:r>
              <w:t>-</w:t>
            </w:r>
          </w:p>
        </w:tc>
      </w:tr>
      <w:tr w:rsidR="009A3AFE" w:rsidRPr="00AA58CA" w:rsidTr="009A3AFE">
        <w:tc>
          <w:tcPr>
            <w:tcW w:w="4394" w:type="dxa"/>
          </w:tcPr>
          <w:p w:rsidR="009A3AFE" w:rsidRDefault="009A3AFE" w:rsidP="009A3AFE">
            <w:pPr>
              <w:jc w:val="both"/>
            </w:pPr>
            <w:r>
              <w:t>Other investment balances</w:t>
            </w:r>
          </w:p>
        </w:tc>
        <w:tc>
          <w:tcPr>
            <w:tcW w:w="709" w:type="dxa"/>
            <w:tcBorders>
              <w:right w:val="single" w:sz="18" w:space="0" w:color="FFFFFF" w:themeColor="background1"/>
            </w:tcBorders>
          </w:tcPr>
          <w:p w:rsidR="009A3AFE" w:rsidRPr="00AA58CA" w:rsidRDefault="009A3AFE" w:rsidP="009A3AFE">
            <w:pPr>
              <w:jc w:val="right"/>
            </w:pPr>
          </w:p>
        </w:tc>
        <w:tc>
          <w:tcPr>
            <w:tcW w:w="1276" w:type="dxa"/>
            <w:tcBorders>
              <w:left w:val="single" w:sz="18" w:space="0" w:color="FFFFFF" w:themeColor="background1"/>
            </w:tcBorders>
          </w:tcPr>
          <w:p w:rsidR="009A3AFE" w:rsidRPr="00AA58CA" w:rsidRDefault="009A3AFE" w:rsidP="009A3AFE">
            <w:pPr>
              <w:jc w:val="right"/>
            </w:pPr>
            <w:r>
              <w:t>14.6</w:t>
            </w:r>
          </w:p>
        </w:tc>
        <w:tc>
          <w:tcPr>
            <w:tcW w:w="709" w:type="dxa"/>
            <w:tcBorders>
              <w:right w:val="single" w:sz="18" w:space="0" w:color="FFFFFF" w:themeColor="background1"/>
            </w:tcBorders>
          </w:tcPr>
          <w:p w:rsidR="009A3AFE" w:rsidRPr="00AA58CA" w:rsidRDefault="009A3AFE" w:rsidP="009A3AFE">
            <w:pPr>
              <w:jc w:val="right"/>
            </w:pPr>
          </w:p>
        </w:tc>
        <w:tc>
          <w:tcPr>
            <w:tcW w:w="1275" w:type="dxa"/>
            <w:tcBorders>
              <w:left w:val="single" w:sz="18" w:space="0" w:color="FFFFFF" w:themeColor="background1"/>
            </w:tcBorders>
          </w:tcPr>
          <w:p w:rsidR="009A3AFE" w:rsidRPr="00AA58CA" w:rsidRDefault="009A3AFE" w:rsidP="009A3AFE">
            <w:pPr>
              <w:jc w:val="right"/>
            </w:pPr>
            <w:r>
              <w:t>-</w:t>
            </w:r>
          </w:p>
        </w:tc>
        <w:tc>
          <w:tcPr>
            <w:tcW w:w="709" w:type="dxa"/>
            <w:tcBorders>
              <w:right w:val="single" w:sz="18" w:space="0" w:color="FFFFFF" w:themeColor="background1"/>
            </w:tcBorders>
          </w:tcPr>
          <w:p w:rsidR="009A3AFE" w:rsidRPr="00AA58CA" w:rsidRDefault="009A3AFE" w:rsidP="009A3AFE">
            <w:pPr>
              <w:jc w:val="right"/>
            </w:pPr>
          </w:p>
        </w:tc>
        <w:tc>
          <w:tcPr>
            <w:tcW w:w="1127" w:type="dxa"/>
            <w:tcBorders>
              <w:left w:val="single" w:sz="18" w:space="0" w:color="FFFFFF" w:themeColor="background1"/>
            </w:tcBorders>
          </w:tcPr>
          <w:p w:rsidR="009A3AFE" w:rsidRPr="00AA58CA" w:rsidRDefault="009A3AFE" w:rsidP="009A3AFE">
            <w:pPr>
              <w:jc w:val="right"/>
            </w:pPr>
            <w:r>
              <w:t>-</w:t>
            </w:r>
          </w:p>
        </w:tc>
      </w:tr>
      <w:tr w:rsidR="009A3AFE" w:rsidRPr="00AA58CA" w:rsidTr="009A3AFE">
        <w:tc>
          <w:tcPr>
            <w:tcW w:w="4394" w:type="dxa"/>
          </w:tcPr>
          <w:p w:rsidR="009A3AFE" w:rsidRDefault="009A3AFE" w:rsidP="009A3AFE">
            <w:pPr>
              <w:jc w:val="both"/>
            </w:pPr>
            <w:r>
              <w:t>Debtors</w:t>
            </w:r>
          </w:p>
        </w:tc>
        <w:tc>
          <w:tcPr>
            <w:tcW w:w="709" w:type="dxa"/>
            <w:tcBorders>
              <w:right w:val="single" w:sz="18" w:space="0" w:color="FFFFFF" w:themeColor="background1"/>
            </w:tcBorders>
          </w:tcPr>
          <w:p w:rsidR="009A3AFE" w:rsidRPr="00AA58CA" w:rsidRDefault="009A3AFE" w:rsidP="009A3AFE">
            <w:pPr>
              <w:jc w:val="right"/>
            </w:pPr>
          </w:p>
        </w:tc>
        <w:tc>
          <w:tcPr>
            <w:tcW w:w="1276" w:type="dxa"/>
            <w:tcBorders>
              <w:left w:val="single" w:sz="18" w:space="0" w:color="FFFFFF" w:themeColor="background1"/>
            </w:tcBorders>
          </w:tcPr>
          <w:p w:rsidR="009A3AFE" w:rsidRPr="00AA58CA" w:rsidRDefault="009A3AFE" w:rsidP="009A3AFE">
            <w:pPr>
              <w:jc w:val="right"/>
            </w:pPr>
            <w:r>
              <w:t>-</w:t>
            </w:r>
          </w:p>
        </w:tc>
        <w:tc>
          <w:tcPr>
            <w:tcW w:w="709" w:type="dxa"/>
            <w:tcBorders>
              <w:right w:val="single" w:sz="18" w:space="0" w:color="FFFFFF" w:themeColor="background1"/>
            </w:tcBorders>
          </w:tcPr>
          <w:p w:rsidR="009A3AFE" w:rsidRPr="00AA58CA" w:rsidRDefault="009A3AFE" w:rsidP="009A3AFE">
            <w:pPr>
              <w:jc w:val="right"/>
            </w:pPr>
          </w:p>
        </w:tc>
        <w:tc>
          <w:tcPr>
            <w:tcW w:w="1275" w:type="dxa"/>
            <w:tcBorders>
              <w:left w:val="single" w:sz="18" w:space="0" w:color="FFFFFF" w:themeColor="background1"/>
            </w:tcBorders>
          </w:tcPr>
          <w:p w:rsidR="009A3AFE" w:rsidRPr="00AA58CA" w:rsidRDefault="009A3AFE" w:rsidP="009A3AFE">
            <w:pPr>
              <w:jc w:val="right"/>
            </w:pPr>
            <w:r>
              <w:t>21.6</w:t>
            </w:r>
          </w:p>
        </w:tc>
        <w:tc>
          <w:tcPr>
            <w:tcW w:w="709" w:type="dxa"/>
            <w:tcBorders>
              <w:right w:val="single" w:sz="18" w:space="0" w:color="FFFFFF" w:themeColor="background1"/>
            </w:tcBorders>
          </w:tcPr>
          <w:p w:rsidR="009A3AFE" w:rsidRPr="00AA58CA" w:rsidRDefault="009A3AFE" w:rsidP="009A3AFE">
            <w:pPr>
              <w:jc w:val="right"/>
            </w:pPr>
          </w:p>
        </w:tc>
        <w:tc>
          <w:tcPr>
            <w:tcW w:w="1127" w:type="dxa"/>
            <w:tcBorders>
              <w:left w:val="single" w:sz="18" w:space="0" w:color="FFFFFF" w:themeColor="background1"/>
            </w:tcBorders>
          </w:tcPr>
          <w:p w:rsidR="009A3AFE" w:rsidRPr="00AA58CA" w:rsidRDefault="009A3AFE" w:rsidP="009A3AFE">
            <w:pPr>
              <w:jc w:val="right"/>
            </w:pPr>
            <w:r>
              <w:t>-</w:t>
            </w:r>
          </w:p>
        </w:tc>
      </w:tr>
      <w:tr w:rsidR="009A3AFE" w:rsidRPr="00AA58CA" w:rsidTr="009A3AFE">
        <w:tc>
          <w:tcPr>
            <w:tcW w:w="4394" w:type="dxa"/>
          </w:tcPr>
          <w:p w:rsidR="009A3AFE" w:rsidRPr="00EB2694" w:rsidRDefault="009A3AFE" w:rsidP="009A3AFE">
            <w:pPr>
              <w:jc w:val="both"/>
              <w:rPr>
                <w:b/>
              </w:rPr>
            </w:pPr>
            <w:r w:rsidRPr="00EB2694">
              <w:rPr>
                <w:b/>
              </w:rPr>
              <w:t>Total Financial Assets</w:t>
            </w:r>
          </w:p>
          <w:p w:rsidR="009A3AFE" w:rsidRDefault="009A3AFE" w:rsidP="009A3AFE">
            <w:pPr>
              <w:jc w:val="both"/>
            </w:pPr>
          </w:p>
        </w:tc>
        <w:tc>
          <w:tcPr>
            <w:tcW w:w="709" w:type="dxa"/>
            <w:tcBorders>
              <w:right w:val="single" w:sz="18" w:space="0" w:color="FFFFFF" w:themeColor="background1"/>
            </w:tcBorders>
          </w:tcPr>
          <w:p w:rsidR="009A3AFE" w:rsidRPr="00AA58CA" w:rsidRDefault="009A3AFE" w:rsidP="009A3AFE">
            <w:pPr>
              <w:jc w:val="right"/>
            </w:pPr>
          </w:p>
        </w:tc>
        <w:tc>
          <w:tcPr>
            <w:tcW w:w="1276" w:type="dxa"/>
            <w:tcBorders>
              <w:left w:val="single" w:sz="18" w:space="0" w:color="FFFFFF" w:themeColor="background1"/>
            </w:tcBorders>
          </w:tcPr>
          <w:p w:rsidR="009A3AFE" w:rsidRPr="006018C2" w:rsidRDefault="009A3AFE" w:rsidP="009A3AFE">
            <w:pPr>
              <w:jc w:val="right"/>
              <w:rPr>
                <w:b/>
              </w:rPr>
            </w:pPr>
            <w:r w:rsidRPr="006018C2">
              <w:rPr>
                <w:b/>
              </w:rPr>
              <w:t>3,84</w:t>
            </w:r>
            <w:r>
              <w:rPr>
                <w:b/>
              </w:rPr>
              <w:t>8</w:t>
            </w:r>
            <w:r w:rsidRPr="006018C2">
              <w:rPr>
                <w:b/>
              </w:rPr>
              <w:t>.</w:t>
            </w:r>
            <w:r>
              <w:rPr>
                <w:b/>
              </w:rPr>
              <w:t>0</w:t>
            </w:r>
          </w:p>
        </w:tc>
        <w:tc>
          <w:tcPr>
            <w:tcW w:w="709" w:type="dxa"/>
            <w:tcBorders>
              <w:right w:val="single" w:sz="18" w:space="0" w:color="FFFFFF" w:themeColor="background1"/>
            </w:tcBorders>
          </w:tcPr>
          <w:p w:rsidR="009A3AFE" w:rsidRPr="006018C2" w:rsidRDefault="009A3AFE" w:rsidP="009A3AFE">
            <w:pPr>
              <w:jc w:val="right"/>
              <w:rPr>
                <w:b/>
              </w:rPr>
            </w:pPr>
          </w:p>
        </w:tc>
        <w:tc>
          <w:tcPr>
            <w:tcW w:w="1275" w:type="dxa"/>
            <w:tcBorders>
              <w:left w:val="single" w:sz="18" w:space="0" w:color="FFFFFF" w:themeColor="background1"/>
            </w:tcBorders>
          </w:tcPr>
          <w:p w:rsidR="009A3AFE" w:rsidRPr="006018C2" w:rsidRDefault="009A3AFE" w:rsidP="009A3AFE">
            <w:pPr>
              <w:jc w:val="right"/>
              <w:rPr>
                <w:b/>
              </w:rPr>
            </w:pPr>
            <w:r>
              <w:rPr>
                <w:b/>
              </w:rPr>
              <w:t>58.2</w:t>
            </w:r>
          </w:p>
        </w:tc>
        <w:tc>
          <w:tcPr>
            <w:tcW w:w="709" w:type="dxa"/>
            <w:tcBorders>
              <w:right w:val="single" w:sz="18" w:space="0" w:color="FFFFFF" w:themeColor="background1"/>
            </w:tcBorders>
          </w:tcPr>
          <w:p w:rsidR="009A3AFE" w:rsidRPr="006018C2" w:rsidRDefault="009A3AFE" w:rsidP="009A3AFE">
            <w:pPr>
              <w:jc w:val="right"/>
              <w:rPr>
                <w:b/>
              </w:rPr>
            </w:pPr>
          </w:p>
        </w:tc>
        <w:tc>
          <w:tcPr>
            <w:tcW w:w="1127" w:type="dxa"/>
            <w:tcBorders>
              <w:left w:val="single" w:sz="18" w:space="0" w:color="FFFFFF" w:themeColor="background1"/>
            </w:tcBorders>
          </w:tcPr>
          <w:p w:rsidR="009A3AFE" w:rsidRPr="006018C2" w:rsidRDefault="009A3AFE" w:rsidP="009A3AFE">
            <w:pPr>
              <w:jc w:val="right"/>
              <w:rPr>
                <w:b/>
              </w:rPr>
            </w:pPr>
            <w:r>
              <w:rPr>
                <w:b/>
              </w:rPr>
              <w:t>-</w:t>
            </w:r>
          </w:p>
        </w:tc>
      </w:tr>
      <w:tr w:rsidR="009A3AFE" w:rsidRPr="00AA58CA" w:rsidTr="009A3AFE">
        <w:tc>
          <w:tcPr>
            <w:tcW w:w="4394" w:type="dxa"/>
          </w:tcPr>
          <w:p w:rsidR="009A3AFE" w:rsidRPr="00EB2694" w:rsidRDefault="009A3AFE" w:rsidP="009A3AFE">
            <w:pPr>
              <w:jc w:val="both"/>
            </w:pPr>
            <w:r>
              <w:rPr>
                <w:b/>
              </w:rPr>
              <w:t>Financial liabilities</w:t>
            </w:r>
          </w:p>
        </w:tc>
        <w:tc>
          <w:tcPr>
            <w:tcW w:w="709" w:type="dxa"/>
            <w:tcBorders>
              <w:right w:val="single" w:sz="18" w:space="0" w:color="FFFFFF" w:themeColor="background1"/>
            </w:tcBorders>
          </w:tcPr>
          <w:p w:rsidR="009A3AFE" w:rsidRPr="00AA58CA" w:rsidRDefault="009A3AFE" w:rsidP="009A3AFE">
            <w:pPr>
              <w:jc w:val="right"/>
            </w:pPr>
          </w:p>
        </w:tc>
        <w:tc>
          <w:tcPr>
            <w:tcW w:w="1276" w:type="dxa"/>
            <w:tcBorders>
              <w:left w:val="single" w:sz="18" w:space="0" w:color="FFFFFF" w:themeColor="background1"/>
            </w:tcBorders>
          </w:tcPr>
          <w:p w:rsidR="009A3AFE" w:rsidRPr="00AA58CA" w:rsidRDefault="009A3AFE" w:rsidP="009A3AFE">
            <w:pPr>
              <w:jc w:val="right"/>
            </w:pPr>
          </w:p>
        </w:tc>
        <w:tc>
          <w:tcPr>
            <w:tcW w:w="709" w:type="dxa"/>
            <w:tcBorders>
              <w:right w:val="single" w:sz="18" w:space="0" w:color="FFFFFF" w:themeColor="background1"/>
            </w:tcBorders>
          </w:tcPr>
          <w:p w:rsidR="009A3AFE" w:rsidRPr="00AA58CA" w:rsidRDefault="009A3AFE" w:rsidP="009A3AFE">
            <w:pPr>
              <w:jc w:val="right"/>
            </w:pPr>
          </w:p>
        </w:tc>
        <w:tc>
          <w:tcPr>
            <w:tcW w:w="1275" w:type="dxa"/>
            <w:tcBorders>
              <w:left w:val="single" w:sz="18" w:space="0" w:color="FFFFFF" w:themeColor="background1"/>
            </w:tcBorders>
          </w:tcPr>
          <w:p w:rsidR="009A3AFE" w:rsidRPr="00AA58CA" w:rsidRDefault="009A3AFE" w:rsidP="009A3AFE">
            <w:pPr>
              <w:jc w:val="right"/>
            </w:pPr>
          </w:p>
        </w:tc>
        <w:tc>
          <w:tcPr>
            <w:tcW w:w="709" w:type="dxa"/>
            <w:tcBorders>
              <w:right w:val="single" w:sz="18" w:space="0" w:color="FFFFFF" w:themeColor="background1"/>
            </w:tcBorders>
          </w:tcPr>
          <w:p w:rsidR="009A3AFE" w:rsidRPr="00AA58CA" w:rsidRDefault="009A3AFE" w:rsidP="009A3AFE">
            <w:pPr>
              <w:jc w:val="right"/>
            </w:pPr>
          </w:p>
        </w:tc>
        <w:tc>
          <w:tcPr>
            <w:tcW w:w="1127" w:type="dxa"/>
            <w:tcBorders>
              <w:left w:val="single" w:sz="18" w:space="0" w:color="FFFFFF" w:themeColor="background1"/>
            </w:tcBorders>
          </w:tcPr>
          <w:p w:rsidR="009A3AFE" w:rsidRPr="00AA58CA" w:rsidRDefault="009A3AFE" w:rsidP="009A3AFE">
            <w:pPr>
              <w:jc w:val="right"/>
            </w:pPr>
          </w:p>
        </w:tc>
      </w:tr>
      <w:tr w:rsidR="009A3AFE" w:rsidRPr="00AA58CA" w:rsidTr="009A3AFE">
        <w:tc>
          <w:tcPr>
            <w:tcW w:w="4394" w:type="dxa"/>
          </w:tcPr>
          <w:p w:rsidR="009A3AFE" w:rsidRDefault="009A3AFE" w:rsidP="009A3AFE">
            <w:pPr>
              <w:jc w:val="both"/>
              <w:rPr>
                <w:b/>
              </w:rPr>
            </w:pPr>
            <w:r>
              <w:t>Derivative contracts</w:t>
            </w:r>
          </w:p>
        </w:tc>
        <w:tc>
          <w:tcPr>
            <w:tcW w:w="709" w:type="dxa"/>
            <w:tcBorders>
              <w:right w:val="single" w:sz="18" w:space="0" w:color="FFFFFF" w:themeColor="background1"/>
            </w:tcBorders>
          </w:tcPr>
          <w:p w:rsidR="009A3AFE" w:rsidRPr="00AA58CA" w:rsidRDefault="009A3AFE" w:rsidP="009A3AFE">
            <w:pPr>
              <w:jc w:val="right"/>
            </w:pPr>
          </w:p>
        </w:tc>
        <w:tc>
          <w:tcPr>
            <w:tcW w:w="1276" w:type="dxa"/>
            <w:tcBorders>
              <w:left w:val="single" w:sz="18" w:space="0" w:color="FFFFFF" w:themeColor="background1"/>
            </w:tcBorders>
          </w:tcPr>
          <w:p w:rsidR="009A3AFE" w:rsidRPr="00AA58CA" w:rsidRDefault="009A3AFE" w:rsidP="009A3AFE">
            <w:pPr>
              <w:jc w:val="right"/>
            </w:pPr>
            <w:r>
              <w:t>0.9</w:t>
            </w:r>
          </w:p>
        </w:tc>
        <w:tc>
          <w:tcPr>
            <w:tcW w:w="709" w:type="dxa"/>
            <w:tcBorders>
              <w:right w:val="single" w:sz="18" w:space="0" w:color="FFFFFF" w:themeColor="background1"/>
            </w:tcBorders>
          </w:tcPr>
          <w:p w:rsidR="009A3AFE" w:rsidRPr="00AA58CA" w:rsidRDefault="009A3AFE" w:rsidP="009A3AFE">
            <w:pPr>
              <w:jc w:val="right"/>
            </w:pPr>
          </w:p>
        </w:tc>
        <w:tc>
          <w:tcPr>
            <w:tcW w:w="1275" w:type="dxa"/>
            <w:tcBorders>
              <w:left w:val="single" w:sz="18" w:space="0" w:color="FFFFFF" w:themeColor="background1"/>
            </w:tcBorders>
          </w:tcPr>
          <w:p w:rsidR="009A3AFE" w:rsidRPr="00AA58CA" w:rsidRDefault="009A3AFE" w:rsidP="009A3AFE">
            <w:pPr>
              <w:jc w:val="right"/>
            </w:pPr>
            <w:r>
              <w:t>-</w:t>
            </w:r>
          </w:p>
        </w:tc>
        <w:tc>
          <w:tcPr>
            <w:tcW w:w="709" w:type="dxa"/>
            <w:tcBorders>
              <w:right w:val="single" w:sz="18" w:space="0" w:color="FFFFFF" w:themeColor="background1"/>
            </w:tcBorders>
          </w:tcPr>
          <w:p w:rsidR="009A3AFE" w:rsidRPr="00AA58CA" w:rsidRDefault="009A3AFE" w:rsidP="009A3AFE">
            <w:pPr>
              <w:jc w:val="right"/>
            </w:pPr>
          </w:p>
        </w:tc>
        <w:tc>
          <w:tcPr>
            <w:tcW w:w="1127" w:type="dxa"/>
            <w:tcBorders>
              <w:left w:val="single" w:sz="18" w:space="0" w:color="FFFFFF" w:themeColor="background1"/>
            </w:tcBorders>
          </w:tcPr>
          <w:p w:rsidR="009A3AFE" w:rsidRPr="00AA58CA" w:rsidRDefault="009A3AFE" w:rsidP="009A3AFE">
            <w:pPr>
              <w:jc w:val="right"/>
            </w:pPr>
            <w:r>
              <w:t>-</w:t>
            </w:r>
          </w:p>
        </w:tc>
      </w:tr>
      <w:tr w:rsidR="009A3AFE" w:rsidRPr="00AA58CA" w:rsidTr="009A3AFE">
        <w:tc>
          <w:tcPr>
            <w:tcW w:w="4394" w:type="dxa"/>
          </w:tcPr>
          <w:p w:rsidR="009A3AFE" w:rsidRDefault="009A3AFE" w:rsidP="009A3AFE">
            <w:pPr>
              <w:jc w:val="both"/>
            </w:pPr>
            <w:r>
              <w:t>Creditors</w:t>
            </w:r>
          </w:p>
        </w:tc>
        <w:tc>
          <w:tcPr>
            <w:tcW w:w="709" w:type="dxa"/>
            <w:tcBorders>
              <w:right w:val="single" w:sz="18" w:space="0" w:color="FFFFFF" w:themeColor="background1"/>
            </w:tcBorders>
          </w:tcPr>
          <w:p w:rsidR="009A3AFE" w:rsidRPr="00AA58CA" w:rsidRDefault="009A3AFE" w:rsidP="009A3AFE">
            <w:pPr>
              <w:jc w:val="right"/>
            </w:pPr>
          </w:p>
        </w:tc>
        <w:tc>
          <w:tcPr>
            <w:tcW w:w="1276" w:type="dxa"/>
            <w:tcBorders>
              <w:left w:val="single" w:sz="18" w:space="0" w:color="FFFFFF" w:themeColor="background1"/>
            </w:tcBorders>
          </w:tcPr>
          <w:p w:rsidR="009A3AFE" w:rsidRPr="00AA58CA" w:rsidRDefault="009A3AFE" w:rsidP="009A3AFE">
            <w:pPr>
              <w:jc w:val="right"/>
            </w:pPr>
            <w:r>
              <w:t>-</w:t>
            </w:r>
          </w:p>
        </w:tc>
        <w:tc>
          <w:tcPr>
            <w:tcW w:w="709" w:type="dxa"/>
            <w:tcBorders>
              <w:right w:val="single" w:sz="18" w:space="0" w:color="FFFFFF" w:themeColor="background1"/>
            </w:tcBorders>
          </w:tcPr>
          <w:p w:rsidR="009A3AFE" w:rsidRPr="00AA58CA" w:rsidRDefault="009A3AFE" w:rsidP="009A3AFE">
            <w:pPr>
              <w:jc w:val="right"/>
            </w:pPr>
          </w:p>
        </w:tc>
        <w:tc>
          <w:tcPr>
            <w:tcW w:w="1275" w:type="dxa"/>
            <w:tcBorders>
              <w:left w:val="single" w:sz="18" w:space="0" w:color="FFFFFF" w:themeColor="background1"/>
            </w:tcBorders>
          </w:tcPr>
          <w:p w:rsidR="009A3AFE" w:rsidRPr="00AA58CA" w:rsidRDefault="009A3AFE" w:rsidP="009A3AFE">
            <w:pPr>
              <w:jc w:val="right"/>
            </w:pPr>
            <w:r>
              <w:t>-</w:t>
            </w:r>
          </w:p>
        </w:tc>
        <w:tc>
          <w:tcPr>
            <w:tcW w:w="709" w:type="dxa"/>
            <w:tcBorders>
              <w:right w:val="single" w:sz="18" w:space="0" w:color="FFFFFF" w:themeColor="background1"/>
            </w:tcBorders>
          </w:tcPr>
          <w:p w:rsidR="009A3AFE" w:rsidRPr="00AA58CA" w:rsidRDefault="009A3AFE" w:rsidP="009A3AFE">
            <w:pPr>
              <w:jc w:val="right"/>
            </w:pPr>
          </w:p>
        </w:tc>
        <w:tc>
          <w:tcPr>
            <w:tcW w:w="1127" w:type="dxa"/>
            <w:tcBorders>
              <w:left w:val="single" w:sz="18" w:space="0" w:color="FFFFFF" w:themeColor="background1"/>
            </w:tcBorders>
          </w:tcPr>
          <w:p w:rsidR="009A3AFE" w:rsidRPr="00AA58CA" w:rsidRDefault="009A3AFE" w:rsidP="009A3AFE">
            <w:pPr>
              <w:jc w:val="right"/>
            </w:pPr>
            <w:r>
              <w:t>9.2</w:t>
            </w:r>
          </w:p>
        </w:tc>
      </w:tr>
      <w:tr w:rsidR="009A3AFE" w:rsidRPr="006018C2" w:rsidTr="009A3AFE">
        <w:tc>
          <w:tcPr>
            <w:tcW w:w="4394" w:type="dxa"/>
          </w:tcPr>
          <w:p w:rsidR="009A3AFE" w:rsidRPr="006018C2" w:rsidRDefault="009A3AFE" w:rsidP="009A3AFE">
            <w:pPr>
              <w:jc w:val="both"/>
              <w:rPr>
                <w:b/>
              </w:rPr>
            </w:pPr>
            <w:r w:rsidRPr="006018C2">
              <w:rPr>
                <w:b/>
              </w:rPr>
              <w:t>Total Financial Liabilities</w:t>
            </w:r>
          </w:p>
        </w:tc>
        <w:tc>
          <w:tcPr>
            <w:tcW w:w="709" w:type="dxa"/>
            <w:tcBorders>
              <w:right w:val="single" w:sz="18" w:space="0" w:color="FFFFFF" w:themeColor="background1"/>
            </w:tcBorders>
          </w:tcPr>
          <w:p w:rsidR="009A3AFE" w:rsidRPr="006018C2" w:rsidRDefault="009A3AFE" w:rsidP="009A3AFE">
            <w:pPr>
              <w:jc w:val="right"/>
              <w:rPr>
                <w:b/>
              </w:rPr>
            </w:pPr>
          </w:p>
        </w:tc>
        <w:tc>
          <w:tcPr>
            <w:tcW w:w="1276" w:type="dxa"/>
            <w:tcBorders>
              <w:left w:val="single" w:sz="18" w:space="0" w:color="FFFFFF" w:themeColor="background1"/>
            </w:tcBorders>
          </w:tcPr>
          <w:p w:rsidR="009A3AFE" w:rsidRPr="006018C2" w:rsidRDefault="009A3AFE" w:rsidP="009A3AFE">
            <w:pPr>
              <w:jc w:val="right"/>
              <w:rPr>
                <w:b/>
              </w:rPr>
            </w:pPr>
            <w:r w:rsidRPr="006018C2">
              <w:rPr>
                <w:b/>
              </w:rPr>
              <w:t>0.</w:t>
            </w:r>
            <w:r>
              <w:rPr>
                <w:b/>
              </w:rPr>
              <w:t>9</w:t>
            </w:r>
          </w:p>
        </w:tc>
        <w:tc>
          <w:tcPr>
            <w:tcW w:w="709" w:type="dxa"/>
            <w:tcBorders>
              <w:right w:val="single" w:sz="18" w:space="0" w:color="FFFFFF" w:themeColor="background1"/>
            </w:tcBorders>
          </w:tcPr>
          <w:p w:rsidR="009A3AFE" w:rsidRPr="006018C2" w:rsidRDefault="009A3AFE" w:rsidP="009A3AFE">
            <w:pPr>
              <w:jc w:val="right"/>
              <w:rPr>
                <w:b/>
              </w:rPr>
            </w:pPr>
          </w:p>
        </w:tc>
        <w:tc>
          <w:tcPr>
            <w:tcW w:w="1275" w:type="dxa"/>
            <w:tcBorders>
              <w:left w:val="single" w:sz="18" w:space="0" w:color="FFFFFF" w:themeColor="background1"/>
            </w:tcBorders>
          </w:tcPr>
          <w:p w:rsidR="009A3AFE" w:rsidRPr="006018C2" w:rsidRDefault="009A3AFE" w:rsidP="009A3AFE">
            <w:pPr>
              <w:jc w:val="right"/>
              <w:rPr>
                <w:b/>
              </w:rPr>
            </w:pPr>
            <w:r>
              <w:rPr>
                <w:b/>
              </w:rPr>
              <w:t>-</w:t>
            </w:r>
          </w:p>
        </w:tc>
        <w:tc>
          <w:tcPr>
            <w:tcW w:w="709" w:type="dxa"/>
            <w:tcBorders>
              <w:right w:val="single" w:sz="18" w:space="0" w:color="FFFFFF" w:themeColor="background1"/>
            </w:tcBorders>
          </w:tcPr>
          <w:p w:rsidR="009A3AFE" w:rsidRPr="006018C2" w:rsidRDefault="009A3AFE" w:rsidP="009A3AFE">
            <w:pPr>
              <w:jc w:val="right"/>
              <w:rPr>
                <w:b/>
              </w:rPr>
            </w:pPr>
          </w:p>
        </w:tc>
        <w:tc>
          <w:tcPr>
            <w:tcW w:w="1127" w:type="dxa"/>
            <w:tcBorders>
              <w:left w:val="single" w:sz="18" w:space="0" w:color="FFFFFF" w:themeColor="background1"/>
            </w:tcBorders>
          </w:tcPr>
          <w:p w:rsidR="009A3AFE" w:rsidRPr="006018C2" w:rsidRDefault="009A3AFE" w:rsidP="009A3AFE">
            <w:pPr>
              <w:jc w:val="right"/>
              <w:rPr>
                <w:b/>
              </w:rPr>
            </w:pPr>
            <w:r w:rsidRPr="006018C2">
              <w:rPr>
                <w:b/>
              </w:rPr>
              <w:t>9.2</w:t>
            </w:r>
          </w:p>
        </w:tc>
      </w:tr>
    </w:tbl>
    <w:p w:rsidR="009A3AFE" w:rsidRPr="006018C2" w:rsidRDefault="009A3AFE" w:rsidP="009A3AFE">
      <w:pPr>
        <w:spacing w:after="120"/>
        <w:rPr>
          <w:b/>
          <w:szCs w:val="24"/>
        </w:rPr>
      </w:pPr>
    </w:p>
    <w:p w:rsidR="009A3AFE" w:rsidRDefault="009A3AFE" w:rsidP="009A3AFE">
      <w:pPr>
        <w:pStyle w:val="ListParagraph"/>
        <w:numPr>
          <w:ilvl w:val="0"/>
          <w:numId w:val="2"/>
        </w:numPr>
        <w:rPr>
          <w:rFonts w:cs="Arial"/>
          <w:b/>
          <w:bCs/>
          <w:color w:val="000000"/>
        </w:rPr>
      </w:pPr>
      <w:r w:rsidRPr="00407552">
        <w:rPr>
          <w:rFonts w:cs="Arial"/>
          <w:b/>
          <w:bCs/>
          <w:color w:val="000000"/>
        </w:rPr>
        <w:t>Net gains and losses on financial instruments</w:t>
      </w:r>
    </w:p>
    <w:p w:rsidR="009A3AFE" w:rsidRDefault="009A3AFE" w:rsidP="009A3AFE">
      <w:pPr>
        <w:pStyle w:val="ListParagraph"/>
        <w:rPr>
          <w:rFonts w:cs="Arial"/>
          <w:b/>
          <w:bCs/>
          <w:color w:val="000000"/>
        </w:rPr>
      </w:pPr>
    </w:p>
    <w:tbl>
      <w:tblPr>
        <w:tblStyle w:val="TableGrid"/>
        <w:tblW w:w="0" w:type="auto"/>
        <w:tblInd w:w="720" w:type="dxa"/>
        <w:tblLook w:val="04A0"/>
      </w:tblPr>
      <w:tblGrid>
        <w:gridCol w:w="4491"/>
        <w:gridCol w:w="2127"/>
        <w:gridCol w:w="1701"/>
      </w:tblGrid>
      <w:tr w:rsidR="009A3AFE" w:rsidTr="009A3AFE">
        <w:tc>
          <w:tcPr>
            <w:tcW w:w="4491" w:type="dxa"/>
            <w:tcBorders>
              <w:top w:val="nil"/>
              <w:left w:val="nil"/>
              <w:bottom w:val="nil"/>
              <w:right w:val="nil"/>
            </w:tcBorders>
          </w:tcPr>
          <w:p w:rsidR="009A3AFE" w:rsidRPr="00FB0F1F" w:rsidRDefault="009A3AFE" w:rsidP="009A3AFE">
            <w:pPr>
              <w:pStyle w:val="ListParagraph"/>
              <w:ind w:left="0"/>
              <w:rPr>
                <w:rFonts w:cs="Arial"/>
                <w:b/>
                <w:bCs/>
                <w:color w:val="000000"/>
              </w:rPr>
            </w:pPr>
          </w:p>
        </w:tc>
        <w:tc>
          <w:tcPr>
            <w:tcW w:w="2127" w:type="dxa"/>
            <w:tcBorders>
              <w:top w:val="nil"/>
              <w:left w:val="nil"/>
              <w:bottom w:val="nil"/>
              <w:right w:val="nil"/>
            </w:tcBorders>
            <w:vAlign w:val="center"/>
          </w:tcPr>
          <w:p w:rsidR="009A3AFE" w:rsidRPr="00FB0F1F" w:rsidRDefault="009A3AFE" w:rsidP="009A3AFE">
            <w:pPr>
              <w:pStyle w:val="ListParagraph"/>
              <w:ind w:left="0"/>
              <w:jc w:val="right"/>
              <w:rPr>
                <w:rFonts w:cs="Arial"/>
                <w:b/>
                <w:bCs/>
                <w:color w:val="000000"/>
              </w:rPr>
            </w:pPr>
            <w:r>
              <w:rPr>
                <w:rFonts w:cs="Arial"/>
                <w:b/>
                <w:bCs/>
                <w:color w:val="000000"/>
              </w:rPr>
              <w:t>2012</w:t>
            </w:r>
          </w:p>
        </w:tc>
        <w:tc>
          <w:tcPr>
            <w:tcW w:w="1701" w:type="dxa"/>
            <w:tcBorders>
              <w:top w:val="nil"/>
              <w:left w:val="nil"/>
              <w:bottom w:val="nil"/>
              <w:right w:val="nil"/>
            </w:tcBorders>
          </w:tcPr>
          <w:p w:rsidR="009A3AFE" w:rsidRDefault="009A3AFE" w:rsidP="009A3AFE">
            <w:pPr>
              <w:pStyle w:val="ListParagraph"/>
              <w:ind w:left="0"/>
              <w:jc w:val="right"/>
              <w:rPr>
                <w:rFonts w:cs="Arial"/>
                <w:b/>
                <w:bCs/>
                <w:color w:val="000000"/>
              </w:rPr>
            </w:pPr>
            <w:r>
              <w:rPr>
                <w:rFonts w:cs="Arial"/>
                <w:b/>
                <w:bCs/>
                <w:color w:val="000000"/>
              </w:rPr>
              <w:t>2011</w:t>
            </w:r>
          </w:p>
        </w:tc>
      </w:tr>
      <w:tr w:rsidR="009A3AFE" w:rsidRPr="00875B23" w:rsidTr="009A3A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91" w:type="dxa"/>
          </w:tcPr>
          <w:p w:rsidR="009A3AFE" w:rsidRPr="00D60D26" w:rsidRDefault="009A3AFE" w:rsidP="009A3AFE">
            <w:pPr>
              <w:pStyle w:val="ListParagraph"/>
              <w:ind w:left="0"/>
              <w:rPr>
                <w:rFonts w:cs="Arial"/>
                <w:b/>
                <w:bCs/>
                <w:color w:val="000000"/>
              </w:rPr>
            </w:pPr>
          </w:p>
        </w:tc>
        <w:tc>
          <w:tcPr>
            <w:tcW w:w="2127" w:type="dxa"/>
            <w:vAlign w:val="center"/>
          </w:tcPr>
          <w:p w:rsidR="009A3AFE" w:rsidRPr="00D60D26" w:rsidRDefault="009A3AFE" w:rsidP="009A3AFE">
            <w:pPr>
              <w:pStyle w:val="ListParagraph"/>
              <w:ind w:left="0"/>
              <w:jc w:val="right"/>
              <w:rPr>
                <w:rFonts w:cs="Arial"/>
                <w:b/>
                <w:bCs/>
                <w:color w:val="000000"/>
              </w:rPr>
            </w:pPr>
            <w:r w:rsidRPr="00D60D26">
              <w:rPr>
                <w:rFonts w:cs="Arial"/>
                <w:b/>
                <w:bCs/>
                <w:color w:val="000000"/>
              </w:rPr>
              <w:t>£m</w:t>
            </w:r>
          </w:p>
        </w:tc>
        <w:tc>
          <w:tcPr>
            <w:tcW w:w="1701" w:type="dxa"/>
          </w:tcPr>
          <w:p w:rsidR="009A3AFE" w:rsidRPr="00D60D26" w:rsidRDefault="009A3AFE" w:rsidP="009A3AFE">
            <w:pPr>
              <w:pStyle w:val="ListParagraph"/>
              <w:ind w:left="0"/>
              <w:jc w:val="right"/>
              <w:rPr>
                <w:rFonts w:cs="Arial"/>
                <w:b/>
                <w:bCs/>
                <w:color w:val="000000"/>
              </w:rPr>
            </w:pPr>
            <w:r w:rsidRPr="00D60D26">
              <w:rPr>
                <w:rFonts w:cs="Arial"/>
                <w:b/>
                <w:bCs/>
                <w:color w:val="000000"/>
              </w:rPr>
              <w:t>£m</w:t>
            </w:r>
          </w:p>
        </w:tc>
      </w:tr>
      <w:tr w:rsidR="009A3AFE" w:rsidRPr="00875B23" w:rsidTr="009A3A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91" w:type="dxa"/>
          </w:tcPr>
          <w:p w:rsidR="009A3AFE" w:rsidRPr="00D60D26" w:rsidRDefault="009A3AFE" w:rsidP="009A3AFE">
            <w:pPr>
              <w:pStyle w:val="ListParagraph"/>
              <w:ind w:left="0"/>
              <w:rPr>
                <w:rFonts w:cs="Arial"/>
                <w:b/>
                <w:bCs/>
                <w:color w:val="000000"/>
              </w:rPr>
            </w:pPr>
            <w:r w:rsidRPr="00D60D26">
              <w:rPr>
                <w:rFonts w:cs="Arial"/>
                <w:b/>
                <w:bCs/>
                <w:color w:val="000000"/>
              </w:rPr>
              <w:t>Financial assets</w:t>
            </w:r>
          </w:p>
        </w:tc>
        <w:tc>
          <w:tcPr>
            <w:tcW w:w="2127" w:type="dxa"/>
            <w:vAlign w:val="center"/>
          </w:tcPr>
          <w:p w:rsidR="009A3AFE" w:rsidRPr="00D60D26" w:rsidRDefault="009A3AFE" w:rsidP="009A3AFE">
            <w:pPr>
              <w:pStyle w:val="ListParagraph"/>
              <w:ind w:left="0"/>
              <w:jc w:val="right"/>
              <w:rPr>
                <w:rFonts w:cs="Arial"/>
                <w:bCs/>
                <w:color w:val="000000"/>
              </w:rPr>
            </w:pPr>
          </w:p>
        </w:tc>
        <w:tc>
          <w:tcPr>
            <w:tcW w:w="1701" w:type="dxa"/>
          </w:tcPr>
          <w:p w:rsidR="009A3AFE" w:rsidRPr="00D60D26" w:rsidRDefault="009A3AFE" w:rsidP="009A3AFE">
            <w:pPr>
              <w:pStyle w:val="ListParagraph"/>
              <w:ind w:left="0"/>
              <w:jc w:val="right"/>
              <w:rPr>
                <w:rFonts w:cs="Arial"/>
                <w:bCs/>
                <w:color w:val="000000"/>
              </w:rPr>
            </w:pPr>
          </w:p>
        </w:tc>
      </w:tr>
      <w:tr w:rsidR="009A3AFE" w:rsidRPr="00875B23" w:rsidTr="009A3A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91" w:type="dxa"/>
          </w:tcPr>
          <w:p w:rsidR="009A3AFE" w:rsidRPr="00D60D26" w:rsidRDefault="009A3AFE" w:rsidP="009A3AFE">
            <w:pPr>
              <w:pStyle w:val="ListParagraph"/>
              <w:ind w:left="0"/>
              <w:rPr>
                <w:rFonts w:cs="Arial"/>
                <w:bCs/>
                <w:color w:val="000000"/>
              </w:rPr>
            </w:pPr>
            <w:r w:rsidRPr="00D60D26">
              <w:rPr>
                <w:rFonts w:cs="Arial"/>
                <w:bCs/>
                <w:color w:val="000000"/>
              </w:rPr>
              <w:t>Fair value through profit and loss</w:t>
            </w:r>
          </w:p>
        </w:tc>
        <w:tc>
          <w:tcPr>
            <w:tcW w:w="2127" w:type="dxa"/>
            <w:vAlign w:val="center"/>
          </w:tcPr>
          <w:p w:rsidR="009A3AFE" w:rsidRPr="00D60D26" w:rsidRDefault="009A3AFE" w:rsidP="009A3AFE">
            <w:pPr>
              <w:pStyle w:val="ListParagraph"/>
              <w:ind w:left="0"/>
              <w:jc w:val="right"/>
              <w:rPr>
                <w:rFonts w:cs="Arial"/>
                <w:bCs/>
                <w:color w:val="000000"/>
              </w:rPr>
            </w:pPr>
            <w:r>
              <w:rPr>
                <w:rFonts w:cs="Arial"/>
                <w:bCs/>
                <w:color w:val="000000"/>
              </w:rPr>
              <w:t>7.9</w:t>
            </w:r>
          </w:p>
        </w:tc>
        <w:tc>
          <w:tcPr>
            <w:tcW w:w="1701" w:type="dxa"/>
          </w:tcPr>
          <w:p w:rsidR="009A3AFE" w:rsidRPr="00D60D26" w:rsidRDefault="009A3AFE" w:rsidP="009A3AFE">
            <w:pPr>
              <w:pStyle w:val="ListParagraph"/>
              <w:ind w:left="0"/>
              <w:jc w:val="right"/>
              <w:rPr>
                <w:rFonts w:cs="Arial"/>
                <w:bCs/>
                <w:color w:val="000000"/>
              </w:rPr>
            </w:pPr>
            <w:r>
              <w:rPr>
                <w:rFonts w:cs="Arial"/>
                <w:bCs/>
                <w:color w:val="000000"/>
              </w:rPr>
              <w:t>238.8</w:t>
            </w:r>
          </w:p>
        </w:tc>
      </w:tr>
      <w:tr w:rsidR="009A3AFE" w:rsidRPr="00875B23" w:rsidTr="009A3A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91" w:type="dxa"/>
          </w:tcPr>
          <w:p w:rsidR="009A3AFE" w:rsidRPr="00D60D26" w:rsidRDefault="009A3AFE" w:rsidP="009A3AFE">
            <w:pPr>
              <w:pStyle w:val="ListParagraph"/>
              <w:ind w:left="0"/>
              <w:rPr>
                <w:rFonts w:cs="Arial"/>
                <w:bCs/>
                <w:color w:val="000000"/>
              </w:rPr>
            </w:pPr>
            <w:r w:rsidRPr="00D60D26">
              <w:rPr>
                <w:rFonts w:cs="Arial"/>
                <w:bCs/>
                <w:color w:val="000000"/>
              </w:rPr>
              <w:t>Loans and Receivables</w:t>
            </w:r>
          </w:p>
        </w:tc>
        <w:tc>
          <w:tcPr>
            <w:tcW w:w="2127" w:type="dxa"/>
            <w:vAlign w:val="center"/>
          </w:tcPr>
          <w:p w:rsidR="009A3AFE" w:rsidRPr="00D60D26" w:rsidRDefault="009A3AFE" w:rsidP="009A3AFE">
            <w:pPr>
              <w:pStyle w:val="ListParagraph"/>
              <w:ind w:left="0"/>
              <w:jc w:val="right"/>
              <w:rPr>
                <w:rFonts w:cs="Arial"/>
                <w:bCs/>
                <w:color w:val="000000"/>
              </w:rPr>
            </w:pPr>
            <w:r>
              <w:rPr>
                <w:rFonts w:cs="Arial"/>
                <w:bCs/>
                <w:color w:val="000000"/>
              </w:rPr>
              <w:t>-</w:t>
            </w:r>
          </w:p>
        </w:tc>
        <w:tc>
          <w:tcPr>
            <w:tcW w:w="1701" w:type="dxa"/>
          </w:tcPr>
          <w:p w:rsidR="009A3AFE" w:rsidRPr="00D60D26" w:rsidRDefault="009A3AFE" w:rsidP="009A3AFE">
            <w:pPr>
              <w:pStyle w:val="ListParagraph"/>
              <w:ind w:left="0"/>
              <w:jc w:val="right"/>
              <w:rPr>
                <w:rFonts w:cs="Arial"/>
                <w:bCs/>
                <w:color w:val="000000"/>
              </w:rPr>
            </w:pPr>
            <w:r>
              <w:rPr>
                <w:rFonts w:cs="Arial"/>
                <w:bCs/>
                <w:color w:val="000000"/>
              </w:rPr>
              <w:t>-</w:t>
            </w:r>
          </w:p>
        </w:tc>
      </w:tr>
      <w:tr w:rsidR="009A3AFE" w:rsidRPr="00875B23" w:rsidTr="009A3A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91" w:type="dxa"/>
          </w:tcPr>
          <w:p w:rsidR="009A3AFE" w:rsidRPr="00D60D26" w:rsidRDefault="009A3AFE" w:rsidP="009A3AFE">
            <w:pPr>
              <w:pStyle w:val="ListParagraph"/>
              <w:ind w:left="0"/>
              <w:rPr>
                <w:rFonts w:cs="Arial"/>
                <w:b/>
                <w:bCs/>
                <w:color w:val="000000"/>
              </w:rPr>
            </w:pPr>
            <w:r w:rsidRPr="00D60D26">
              <w:rPr>
                <w:rFonts w:cs="Arial"/>
                <w:b/>
                <w:bCs/>
                <w:color w:val="000000"/>
              </w:rPr>
              <w:t>Financial Liabilities</w:t>
            </w:r>
          </w:p>
        </w:tc>
        <w:tc>
          <w:tcPr>
            <w:tcW w:w="2127" w:type="dxa"/>
            <w:vAlign w:val="center"/>
          </w:tcPr>
          <w:p w:rsidR="009A3AFE" w:rsidRPr="00D60D26" w:rsidRDefault="009A3AFE" w:rsidP="009A3AFE">
            <w:pPr>
              <w:pStyle w:val="ListParagraph"/>
              <w:ind w:left="0"/>
              <w:jc w:val="right"/>
              <w:rPr>
                <w:rFonts w:cs="Arial"/>
                <w:bCs/>
                <w:color w:val="000000"/>
              </w:rPr>
            </w:pPr>
          </w:p>
        </w:tc>
        <w:tc>
          <w:tcPr>
            <w:tcW w:w="1701" w:type="dxa"/>
          </w:tcPr>
          <w:p w:rsidR="009A3AFE" w:rsidRPr="00D60D26" w:rsidRDefault="009A3AFE" w:rsidP="009A3AFE">
            <w:pPr>
              <w:pStyle w:val="ListParagraph"/>
              <w:ind w:left="0"/>
              <w:jc w:val="right"/>
              <w:rPr>
                <w:rFonts w:cs="Arial"/>
                <w:bCs/>
                <w:color w:val="000000"/>
              </w:rPr>
            </w:pPr>
          </w:p>
        </w:tc>
      </w:tr>
      <w:tr w:rsidR="009A3AFE" w:rsidRPr="00875B23" w:rsidTr="009A3A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91" w:type="dxa"/>
          </w:tcPr>
          <w:p w:rsidR="009A3AFE" w:rsidRPr="00D60D26" w:rsidRDefault="009A3AFE" w:rsidP="009A3AFE">
            <w:pPr>
              <w:pStyle w:val="ListParagraph"/>
              <w:ind w:left="0"/>
              <w:rPr>
                <w:rFonts w:cs="Arial"/>
                <w:bCs/>
                <w:color w:val="000000"/>
              </w:rPr>
            </w:pPr>
            <w:r w:rsidRPr="00D60D26">
              <w:rPr>
                <w:rFonts w:cs="Arial"/>
                <w:bCs/>
                <w:color w:val="000000"/>
              </w:rPr>
              <w:t>Fair value through profit and loss</w:t>
            </w:r>
          </w:p>
        </w:tc>
        <w:tc>
          <w:tcPr>
            <w:tcW w:w="2127" w:type="dxa"/>
            <w:vAlign w:val="center"/>
          </w:tcPr>
          <w:p w:rsidR="009A3AFE" w:rsidRPr="00D60D26" w:rsidRDefault="009A3AFE" w:rsidP="009A3AFE">
            <w:pPr>
              <w:pStyle w:val="ListParagraph"/>
              <w:ind w:left="0"/>
              <w:jc w:val="right"/>
              <w:rPr>
                <w:rFonts w:cs="Arial"/>
                <w:bCs/>
                <w:color w:val="000000"/>
              </w:rPr>
            </w:pPr>
            <w:r>
              <w:rPr>
                <w:rFonts w:cs="Arial"/>
                <w:bCs/>
                <w:color w:val="000000"/>
              </w:rPr>
              <w:t>-</w:t>
            </w:r>
          </w:p>
        </w:tc>
        <w:tc>
          <w:tcPr>
            <w:tcW w:w="1701" w:type="dxa"/>
          </w:tcPr>
          <w:p w:rsidR="009A3AFE" w:rsidRPr="00D60D26" w:rsidRDefault="009A3AFE" w:rsidP="009A3AFE">
            <w:pPr>
              <w:pStyle w:val="ListParagraph"/>
              <w:ind w:left="0"/>
              <w:jc w:val="right"/>
              <w:rPr>
                <w:rFonts w:cs="Arial"/>
                <w:bCs/>
                <w:color w:val="000000"/>
              </w:rPr>
            </w:pPr>
            <w:r>
              <w:rPr>
                <w:rFonts w:cs="Arial"/>
                <w:bCs/>
                <w:color w:val="000000"/>
              </w:rPr>
              <w:t>-</w:t>
            </w:r>
          </w:p>
        </w:tc>
      </w:tr>
      <w:tr w:rsidR="009A3AFE" w:rsidRPr="00875B23" w:rsidTr="009A3A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91" w:type="dxa"/>
          </w:tcPr>
          <w:p w:rsidR="009A3AFE" w:rsidRPr="00D60D26" w:rsidRDefault="009A3AFE" w:rsidP="009A3AFE">
            <w:pPr>
              <w:pStyle w:val="ListParagraph"/>
              <w:ind w:left="0"/>
              <w:rPr>
                <w:rFonts w:cs="Arial"/>
                <w:bCs/>
                <w:color w:val="000000"/>
              </w:rPr>
            </w:pPr>
            <w:r w:rsidRPr="00D60D26">
              <w:rPr>
                <w:rFonts w:cs="Arial"/>
                <w:bCs/>
                <w:color w:val="000000"/>
              </w:rPr>
              <w:t>Loans and Receivables</w:t>
            </w:r>
          </w:p>
        </w:tc>
        <w:tc>
          <w:tcPr>
            <w:tcW w:w="2127" w:type="dxa"/>
            <w:vAlign w:val="center"/>
          </w:tcPr>
          <w:p w:rsidR="009A3AFE" w:rsidRPr="00D60D26" w:rsidRDefault="009A3AFE" w:rsidP="009A3AFE">
            <w:pPr>
              <w:pStyle w:val="ListParagraph"/>
              <w:ind w:left="0"/>
              <w:jc w:val="right"/>
              <w:rPr>
                <w:rFonts w:cs="Arial"/>
                <w:bCs/>
                <w:color w:val="000000"/>
              </w:rPr>
            </w:pPr>
          </w:p>
        </w:tc>
        <w:tc>
          <w:tcPr>
            <w:tcW w:w="1701" w:type="dxa"/>
          </w:tcPr>
          <w:p w:rsidR="009A3AFE" w:rsidRPr="00D60D26" w:rsidRDefault="009A3AFE" w:rsidP="009A3AFE">
            <w:pPr>
              <w:pStyle w:val="ListParagraph"/>
              <w:ind w:left="0"/>
              <w:jc w:val="right"/>
              <w:rPr>
                <w:rFonts w:cs="Arial"/>
                <w:bCs/>
                <w:color w:val="000000"/>
              </w:rPr>
            </w:pPr>
          </w:p>
        </w:tc>
      </w:tr>
      <w:tr w:rsidR="009A3AFE" w:rsidRPr="00875B23" w:rsidTr="009A3A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91" w:type="dxa"/>
          </w:tcPr>
          <w:p w:rsidR="009A3AFE" w:rsidRPr="00D60D26" w:rsidRDefault="009A3AFE" w:rsidP="009A3AFE">
            <w:pPr>
              <w:pStyle w:val="ListParagraph"/>
              <w:ind w:left="0"/>
              <w:rPr>
                <w:rFonts w:cs="Arial"/>
                <w:bCs/>
                <w:color w:val="000000"/>
              </w:rPr>
            </w:pPr>
            <w:r w:rsidRPr="00D60D26">
              <w:rPr>
                <w:rFonts w:cs="Arial"/>
                <w:bCs/>
                <w:color w:val="000000"/>
              </w:rPr>
              <w:t>Financial liabilities at amortised cost</w:t>
            </w:r>
          </w:p>
        </w:tc>
        <w:tc>
          <w:tcPr>
            <w:tcW w:w="2127" w:type="dxa"/>
            <w:vAlign w:val="center"/>
          </w:tcPr>
          <w:p w:rsidR="009A3AFE" w:rsidRPr="00D60D26" w:rsidRDefault="009A3AFE" w:rsidP="009A3AFE">
            <w:pPr>
              <w:pStyle w:val="ListParagraph"/>
              <w:ind w:left="0"/>
              <w:jc w:val="right"/>
              <w:rPr>
                <w:rFonts w:cs="Arial"/>
                <w:bCs/>
                <w:color w:val="000000"/>
              </w:rPr>
            </w:pPr>
            <w:r>
              <w:rPr>
                <w:rFonts w:cs="Arial"/>
                <w:bCs/>
                <w:color w:val="000000"/>
              </w:rPr>
              <w:t>-</w:t>
            </w:r>
          </w:p>
        </w:tc>
        <w:tc>
          <w:tcPr>
            <w:tcW w:w="1701" w:type="dxa"/>
          </w:tcPr>
          <w:p w:rsidR="009A3AFE" w:rsidRPr="00D60D26" w:rsidRDefault="009A3AFE" w:rsidP="009A3AFE">
            <w:pPr>
              <w:pStyle w:val="ListParagraph"/>
              <w:ind w:left="0"/>
              <w:jc w:val="right"/>
              <w:rPr>
                <w:rFonts w:cs="Arial"/>
                <w:bCs/>
                <w:color w:val="000000"/>
              </w:rPr>
            </w:pPr>
            <w:r>
              <w:rPr>
                <w:rFonts w:cs="Arial"/>
                <w:bCs/>
                <w:color w:val="000000"/>
              </w:rPr>
              <w:t>-</w:t>
            </w:r>
          </w:p>
        </w:tc>
      </w:tr>
      <w:tr w:rsidR="009A3AFE" w:rsidRPr="00875B23" w:rsidTr="009A3A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91" w:type="dxa"/>
          </w:tcPr>
          <w:p w:rsidR="009A3AFE" w:rsidRPr="00D60D26" w:rsidRDefault="009A3AFE" w:rsidP="009A3AFE">
            <w:pPr>
              <w:pStyle w:val="ListParagraph"/>
              <w:ind w:left="0"/>
              <w:rPr>
                <w:rFonts w:cs="Arial"/>
                <w:b/>
                <w:bCs/>
                <w:color w:val="000000"/>
              </w:rPr>
            </w:pPr>
            <w:r w:rsidRPr="00D60D26">
              <w:rPr>
                <w:rFonts w:cs="Arial"/>
                <w:b/>
                <w:bCs/>
                <w:color w:val="000000"/>
              </w:rPr>
              <w:t>Total</w:t>
            </w:r>
          </w:p>
        </w:tc>
        <w:tc>
          <w:tcPr>
            <w:tcW w:w="2127" w:type="dxa"/>
            <w:vAlign w:val="center"/>
          </w:tcPr>
          <w:p w:rsidR="009A3AFE" w:rsidRPr="00D60D26" w:rsidRDefault="009A3AFE" w:rsidP="009A3AFE">
            <w:pPr>
              <w:pStyle w:val="ListParagraph"/>
              <w:ind w:left="0"/>
              <w:jc w:val="right"/>
              <w:rPr>
                <w:rFonts w:cs="Arial"/>
                <w:b/>
                <w:bCs/>
                <w:color w:val="000000"/>
              </w:rPr>
            </w:pPr>
            <w:r w:rsidRPr="00D60D26">
              <w:rPr>
                <w:rFonts w:cs="Arial"/>
                <w:b/>
                <w:bCs/>
                <w:color w:val="000000"/>
              </w:rPr>
              <w:t>7.9</w:t>
            </w:r>
          </w:p>
        </w:tc>
        <w:tc>
          <w:tcPr>
            <w:tcW w:w="1701" w:type="dxa"/>
          </w:tcPr>
          <w:p w:rsidR="009A3AFE" w:rsidRPr="00D60D26" w:rsidRDefault="009A3AFE" w:rsidP="009A3AFE">
            <w:pPr>
              <w:pStyle w:val="ListParagraph"/>
              <w:ind w:left="0"/>
              <w:jc w:val="right"/>
              <w:rPr>
                <w:rFonts w:cs="Arial"/>
                <w:b/>
                <w:bCs/>
                <w:color w:val="000000"/>
              </w:rPr>
            </w:pPr>
            <w:r w:rsidRPr="00D60D26">
              <w:rPr>
                <w:rFonts w:cs="Arial"/>
                <w:b/>
                <w:bCs/>
                <w:color w:val="000000"/>
              </w:rPr>
              <w:t>238.8</w:t>
            </w:r>
          </w:p>
        </w:tc>
      </w:tr>
    </w:tbl>
    <w:p w:rsidR="009A3AFE" w:rsidRDefault="009A3AFE" w:rsidP="009A3AFE">
      <w:pPr>
        <w:pStyle w:val="ListParagraph"/>
        <w:rPr>
          <w:rFonts w:cs="Arial"/>
          <w:b/>
          <w:bCs/>
          <w:color w:val="000000"/>
        </w:rPr>
      </w:pPr>
    </w:p>
    <w:p w:rsidR="009A3AFE" w:rsidRDefault="009A3AFE" w:rsidP="009A3AFE">
      <w:pPr>
        <w:pStyle w:val="ListParagraph"/>
        <w:rPr>
          <w:rFonts w:cs="Arial"/>
          <w:b/>
          <w:bCs/>
          <w:color w:val="000000"/>
        </w:rPr>
      </w:pPr>
    </w:p>
    <w:p w:rsidR="009A3AFE" w:rsidRPr="00407552" w:rsidRDefault="009A3AFE" w:rsidP="009A3AFE">
      <w:pPr>
        <w:pStyle w:val="ListParagraph"/>
        <w:rPr>
          <w:rFonts w:cs="Arial"/>
          <w:b/>
          <w:bCs/>
          <w:color w:val="000000"/>
        </w:rPr>
      </w:pPr>
    </w:p>
    <w:p w:rsidR="009A3AFE" w:rsidRDefault="009A3AFE" w:rsidP="009A3AFE">
      <w:pPr>
        <w:pStyle w:val="ListParagraph"/>
        <w:numPr>
          <w:ilvl w:val="0"/>
          <w:numId w:val="2"/>
        </w:numPr>
        <w:spacing w:after="120"/>
        <w:rPr>
          <w:b/>
        </w:rPr>
      </w:pPr>
      <w:r w:rsidRPr="009B3187">
        <w:rPr>
          <w:b/>
        </w:rPr>
        <w:t>Financial Instruments – Fair Value of Financial Instruments and Liabilitie</w:t>
      </w:r>
      <w:r>
        <w:rPr>
          <w:b/>
        </w:rPr>
        <w:t>s</w:t>
      </w:r>
    </w:p>
    <w:p w:rsidR="009A3AFE" w:rsidRDefault="009A3AFE" w:rsidP="009A3AFE">
      <w:pPr>
        <w:spacing w:after="120"/>
        <w:ind w:left="720"/>
        <w:rPr>
          <w:szCs w:val="24"/>
        </w:rPr>
      </w:pPr>
      <w:r w:rsidRPr="000637CA">
        <w:rPr>
          <w:szCs w:val="24"/>
        </w:rPr>
        <w:t xml:space="preserve">The following table summarises the carrying values of the financial assets and liabilities presented in the Fund's net asset </w:t>
      </w:r>
      <w:r>
        <w:rPr>
          <w:szCs w:val="24"/>
        </w:rPr>
        <w:t xml:space="preserve">statement.  The fair values </w:t>
      </w:r>
      <w:r w:rsidRPr="000637CA">
        <w:rPr>
          <w:szCs w:val="24"/>
        </w:rPr>
        <w:t>presented in the table are at a specific date and may be significantly different from the amounts which were actually paid or received on the maturity or settlement date.</w:t>
      </w:r>
    </w:p>
    <w:p w:rsidR="009A3AFE" w:rsidRDefault="009A3AFE" w:rsidP="009A3AFE">
      <w:pPr>
        <w:spacing w:after="120"/>
        <w:ind w:left="720"/>
        <w:rPr>
          <w:szCs w:val="24"/>
        </w:rPr>
      </w:pPr>
    </w:p>
    <w:p w:rsidR="009A3AFE" w:rsidRDefault="009A3AFE" w:rsidP="009A3AFE">
      <w:pPr>
        <w:rPr>
          <w:szCs w:val="24"/>
        </w:rPr>
      </w:pPr>
      <w:r>
        <w:rPr>
          <w:szCs w:val="24"/>
        </w:rPr>
        <w:br w:type="page"/>
      </w:r>
    </w:p>
    <w:tbl>
      <w:tblPr>
        <w:tblStyle w:val="TableGrid"/>
        <w:tblW w:w="1030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57"/>
        <w:gridCol w:w="1985"/>
        <w:gridCol w:w="2095"/>
        <w:gridCol w:w="1449"/>
        <w:gridCol w:w="1417"/>
      </w:tblGrid>
      <w:tr w:rsidR="009A3AFE" w:rsidTr="009A3AFE">
        <w:tc>
          <w:tcPr>
            <w:tcW w:w="3357" w:type="dxa"/>
          </w:tcPr>
          <w:p w:rsidR="009A3AFE" w:rsidRPr="00FB0F1F" w:rsidRDefault="009A3AFE" w:rsidP="009A3AFE">
            <w:pPr>
              <w:rPr>
                <w:b/>
                <w:szCs w:val="24"/>
              </w:rPr>
            </w:pPr>
          </w:p>
        </w:tc>
        <w:tc>
          <w:tcPr>
            <w:tcW w:w="1985" w:type="dxa"/>
          </w:tcPr>
          <w:p w:rsidR="009A3AFE" w:rsidRDefault="009A3AFE" w:rsidP="009A3AFE">
            <w:pPr>
              <w:jc w:val="right"/>
              <w:rPr>
                <w:b/>
                <w:szCs w:val="24"/>
              </w:rPr>
            </w:pPr>
            <w:r>
              <w:rPr>
                <w:b/>
                <w:szCs w:val="24"/>
              </w:rPr>
              <w:t>Carrying Value</w:t>
            </w:r>
          </w:p>
          <w:p w:rsidR="009A3AFE" w:rsidRPr="00FB0F1F" w:rsidRDefault="009A3AFE" w:rsidP="009A3AFE">
            <w:pPr>
              <w:jc w:val="right"/>
              <w:rPr>
                <w:b/>
                <w:szCs w:val="24"/>
              </w:rPr>
            </w:pPr>
            <w:r>
              <w:rPr>
                <w:b/>
                <w:szCs w:val="24"/>
              </w:rPr>
              <w:t>2012</w:t>
            </w:r>
          </w:p>
        </w:tc>
        <w:tc>
          <w:tcPr>
            <w:tcW w:w="2095" w:type="dxa"/>
          </w:tcPr>
          <w:p w:rsidR="009A3AFE" w:rsidRDefault="009A3AFE" w:rsidP="009A3AFE">
            <w:pPr>
              <w:jc w:val="right"/>
              <w:rPr>
                <w:b/>
                <w:szCs w:val="24"/>
              </w:rPr>
            </w:pPr>
            <w:r>
              <w:rPr>
                <w:b/>
                <w:szCs w:val="24"/>
              </w:rPr>
              <w:t>Carrying value</w:t>
            </w:r>
          </w:p>
          <w:p w:rsidR="009A3AFE" w:rsidRPr="00FB0F1F" w:rsidRDefault="009A3AFE" w:rsidP="009A3AFE">
            <w:pPr>
              <w:jc w:val="right"/>
              <w:rPr>
                <w:b/>
                <w:szCs w:val="24"/>
              </w:rPr>
            </w:pPr>
            <w:r>
              <w:rPr>
                <w:b/>
                <w:szCs w:val="24"/>
              </w:rPr>
              <w:t>2011</w:t>
            </w:r>
          </w:p>
        </w:tc>
        <w:tc>
          <w:tcPr>
            <w:tcW w:w="1449" w:type="dxa"/>
          </w:tcPr>
          <w:p w:rsidR="009A3AFE" w:rsidRDefault="009A3AFE" w:rsidP="009A3AFE">
            <w:pPr>
              <w:jc w:val="right"/>
              <w:rPr>
                <w:b/>
                <w:szCs w:val="24"/>
              </w:rPr>
            </w:pPr>
            <w:r>
              <w:rPr>
                <w:b/>
                <w:szCs w:val="24"/>
              </w:rPr>
              <w:t>Fair Value</w:t>
            </w:r>
          </w:p>
          <w:p w:rsidR="009A3AFE" w:rsidRPr="00FB0F1F" w:rsidRDefault="009A3AFE" w:rsidP="009A3AFE">
            <w:pPr>
              <w:jc w:val="right"/>
              <w:rPr>
                <w:b/>
                <w:szCs w:val="24"/>
              </w:rPr>
            </w:pPr>
            <w:r>
              <w:rPr>
                <w:b/>
                <w:szCs w:val="24"/>
              </w:rPr>
              <w:t>2012</w:t>
            </w:r>
          </w:p>
        </w:tc>
        <w:tc>
          <w:tcPr>
            <w:tcW w:w="1417" w:type="dxa"/>
          </w:tcPr>
          <w:p w:rsidR="009A3AFE" w:rsidRDefault="009A3AFE" w:rsidP="009A3AFE">
            <w:pPr>
              <w:jc w:val="right"/>
              <w:rPr>
                <w:b/>
                <w:szCs w:val="24"/>
              </w:rPr>
            </w:pPr>
            <w:r>
              <w:rPr>
                <w:b/>
                <w:szCs w:val="24"/>
              </w:rPr>
              <w:t>Fair Value</w:t>
            </w:r>
          </w:p>
          <w:p w:rsidR="009A3AFE" w:rsidRPr="00FB0F1F" w:rsidRDefault="009A3AFE" w:rsidP="009A3AFE">
            <w:pPr>
              <w:jc w:val="right"/>
              <w:rPr>
                <w:b/>
                <w:szCs w:val="24"/>
              </w:rPr>
            </w:pPr>
            <w:r>
              <w:rPr>
                <w:b/>
                <w:szCs w:val="24"/>
              </w:rPr>
              <w:t>2011</w:t>
            </w:r>
          </w:p>
        </w:tc>
      </w:tr>
      <w:tr w:rsidR="009A3AFE" w:rsidTr="009A3AFE">
        <w:tc>
          <w:tcPr>
            <w:tcW w:w="3357" w:type="dxa"/>
          </w:tcPr>
          <w:p w:rsidR="009A3AFE" w:rsidRPr="00FB0F1F" w:rsidRDefault="009A3AFE" w:rsidP="009A3AFE">
            <w:pPr>
              <w:rPr>
                <w:b/>
                <w:szCs w:val="24"/>
              </w:rPr>
            </w:pPr>
          </w:p>
        </w:tc>
        <w:tc>
          <w:tcPr>
            <w:tcW w:w="1985" w:type="dxa"/>
          </w:tcPr>
          <w:p w:rsidR="009A3AFE" w:rsidRPr="00FB0F1F" w:rsidRDefault="009A3AFE" w:rsidP="009A3AFE">
            <w:pPr>
              <w:jc w:val="right"/>
              <w:rPr>
                <w:b/>
                <w:szCs w:val="24"/>
              </w:rPr>
            </w:pPr>
            <w:r>
              <w:rPr>
                <w:b/>
                <w:szCs w:val="24"/>
              </w:rPr>
              <w:t>£m</w:t>
            </w:r>
          </w:p>
        </w:tc>
        <w:tc>
          <w:tcPr>
            <w:tcW w:w="2095" w:type="dxa"/>
          </w:tcPr>
          <w:p w:rsidR="009A3AFE" w:rsidRPr="00FB0F1F" w:rsidRDefault="009A3AFE" w:rsidP="009A3AFE">
            <w:pPr>
              <w:jc w:val="right"/>
              <w:rPr>
                <w:b/>
                <w:szCs w:val="24"/>
              </w:rPr>
            </w:pPr>
            <w:r>
              <w:rPr>
                <w:b/>
                <w:szCs w:val="24"/>
              </w:rPr>
              <w:t>£m</w:t>
            </w:r>
          </w:p>
        </w:tc>
        <w:tc>
          <w:tcPr>
            <w:tcW w:w="1449" w:type="dxa"/>
          </w:tcPr>
          <w:p w:rsidR="009A3AFE" w:rsidRPr="00FB0F1F" w:rsidRDefault="009A3AFE" w:rsidP="009A3AFE">
            <w:pPr>
              <w:jc w:val="right"/>
              <w:rPr>
                <w:b/>
                <w:szCs w:val="24"/>
              </w:rPr>
            </w:pPr>
            <w:r>
              <w:rPr>
                <w:b/>
                <w:szCs w:val="24"/>
              </w:rPr>
              <w:t>£m</w:t>
            </w:r>
          </w:p>
        </w:tc>
        <w:tc>
          <w:tcPr>
            <w:tcW w:w="1417" w:type="dxa"/>
          </w:tcPr>
          <w:p w:rsidR="009A3AFE" w:rsidRPr="00FB0F1F" w:rsidRDefault="009A3AFE" w:rsidP="009A3AFE">
            <w:pPr>
              <w:jc w:val="right"/>
              <w:rPr>
                <w:b/>
                <w:szCs w:val="24"/>
              </w:rPr>
            </w:pPr>
            <w:r>
              <w:rPr>
                <w:b/>
                <w:szCs w:val="24"/>
              </w:rPr>
              <w:t>£m</w:t>
            </w:r>
          </w:p>
        </w:tc>
      </w:tr>
      <w:tr w:rsidR="009A3AFE" w:rsidTr="009A3AFE">
        <w:tc>
          <w:tcPr>
            <w:tcW w:w="3357" w:type="dxa"/>
          </w:tcPr>
          <w:p w:rsidR="009A3AFE" w:rsidRPr="002903B7" w:rsidRDefault="009A3AFE" w:rsidP="009A3AFE">
            <w:pPr>
              <w:spacing w:after="120"/>
              <w:rPr>
                <w:b/>
                <w:szCs w:val="24"/>
              </w:rPr>
            </w:pPr>
            <w:r w:rsidRPr="002903B7">
              <w:rPr>
                <w:b/>
                <w:szCs w:val="24"/>
              </w:rPr>
              <w:t>Financial assets</w:t>
            </w:r>
          </w:p>
        </w:tc>
        <w:tc>
          <w:tcPr>
            <w:tcW w:w="1985" w:type="dxa"/>
          </w:tcPr>
          <w:p w:rsidR="009A3AFE" w:rsidRDefault="009A3AFE" w:rsidP="009A3AFE">
            <w:pPr>
              <w:spacing w:after="120"/>
              <w:jc w:val="right"/>
              <w:rPr>
                <w:szCs w:val="24"/>
              </w:rPr>
            </w:pPr>
          </w:p>
        </w:tc>
        <w:tc>
          <w:tcPr>
            <w:tcW w:w="2095" w:type="dxa"/>
          </w:tcPr>
          <w:p w:rsidR="009A3AFE" w:rsidRDefault="009A3AFE" w:rsidP="009A3AFE">
            <w:pPr>
              <w:spacing w:after="120"/>
              <w:jc w:val="right"/>
              <w:rPr>
                <w:szCs w:val="24"/>
              </w:rPr>
            </w:pPr>
          </w:p>
        </w:tc>
        <w:tc>
          <w:tcPr>
            <w:tcW w:w="1449" w:type="dxa"/>
          </w:tcPr>
          <w:p w:rsidR="009A3AFE" w:rsidRDefault="009A3AFE" w:rsidP="009A3AFE">
            <w:pPr>
              <w:spacing w:after="120"/>
              <w:jc w:val="right"/>
              <w:rPr>
                <w:szCs w:val="24"/>
              </w:rPr>
            </w:pPr>
          </w:p>
        </w:tc>
        <w:tc>
          <w:tcPr>
            <w:tcW w:w="1417" w:type="dxa"/>
          </w:tcPr>
          <w:p w:rsidR="009A3AFE" w:rsidRDefault="009A3AFE" w:rsidP="009A3AFE">
            <w:pPr>
              <w:spacing w:after="120"/>
              <w:jc w:val="right"/>
              <w:rPr>
                <w:szCs w:val="24"/>
              </w:rPr>
            </w:pPr>
          </w:p>
        </w:tc>
      </w:tr>
      <w:tr w:rsidR="009A3AFE" w:rsidTr="009A3AFE">
        <w:tc>
          <w:tcPr>
            <w:tcW w:w="3357" w:type="dxa"/>
          </w:tcPr>
          <w:p w:rsidR="009A3AFE" w:rsidRDefault="009A3AFE" w:rsidP="009A3AFE">
            <w:pPr>
              <w:spacing w:after="120"/>
              <w:rPr>
                <w:szCs w:val="24"/>
              </w:rPr>
            </w:pPr>
            <w:r>
              <w:rPr>
                <w:szCs w:val="24"/>
              </w:rPr>
              <w:t>Trading and other financial assets at fair value through profit and loss</w:t>
            </w:r>
          </w:p>
        </w:tc>
        <w:tc>
          <w:tcPr>
            <w:tcW w:w="1985" w:type="dxa"/>
            <w:vAlign w:val="center"/>
          </w:tcPr>
          <w:p w:rsidR="009A3AFE" w:rsidRDefault="009A3AFE" w:rsidP="009A3AFE">
            <w:pPr>
              <w:spacing w:after="120"/>
              <w:jc w:val="right"/>
              <w:rPr>
                <w:szCs w:val="24"/>
              </w:rPr>
            </w:pPr>
            <w:r>
              <w:rPr>
                <w:szCs w:val="24"/>
              </w:rPr>
              <w:t>3,347.5</w:t>
            </w:r>
          </w:p>
        </w:tc>
        <w:tc>
          <w:tcPr>
            <w:tcW w:w="2095" w:type="dxa"/>
            <w:vAlign w:val="center"/>
          </w:tcPr>
          <w:p w:rsidR="009A3AFE" w:rsidRDefault="009A3AFE" w:rsidP="009A3AFE">
            <w:pPr>
              <w:spacing w:after="120"/>
              <w:jc w:val="right"/>
              <w:rPr>
                <w:szCs w:val="24"/>
              </w:rPr>
            </w:pPr>
            <w:r>
              <w:rPr>
                <w:szCs w:val="24"/>
              </w:rPr>
              <w:t>3,284.0</w:t>
            </w:r>
          </w:p>
        </w:tc>
        <w:tc>
          <w:tcPr>
            <w:tcW w:w="1449" w:type="dxa"/>
            <w:vAlign w:val="center"/>
          </w:tcPr>
          <w:p w:rsidR="009A3AFE" w:rsidRDefault="009A3AFE" w:rsidP="009A3AFE">
            <w:pPr>
              <w:spacing w:after="120"/>
              <w:jc w:val="right"/>
              <w:rPr>
                <w:szCs w:val="24"/>
              </w:rPr>
            </w:pPr>
            <w:r>
              <w:rPr>
                <w:szCs w:val="24"/>
              </w:rPr>
              <w:t>3,850.8</w:t>
            </w:r>
          </w:p>
        </w:tc>
        <w:tc>
          <w:tcPr>
            <w:tcW w:w="1417" w:type="dxa"/>
            <w:vAlign w:val="center"/>
          </w:tcPr>
          <w:p w:rsidR="009A3AFE" w:rsidRDefault="009A3AFE" w:rsidP="009A3AFE">
            <w:pPr>
              <w:spacing w:after="120"/>
              <w:jc w:val="right"/>
              <w:rPr>
                <w:szCs w:val="24"/>
              </w:rPr>
            </w:pPr>
            <w:r>
              <w:rPr>
                <w:szCs w:val="24"/>
              </w:rPr>
              <w:t>3,848.0</w:t>
            </w:r>
          </w:p>
        </w:tc>
      </w:tr>
      <w:tr w:rsidR="009A3AFE" w:rsidTr="009A3AFE">
        <w:tc>
          <w:tcPr>
            <w:tcW w:w="3357" w:type="dxa"/>
          </w:tcPr>
          <w:p w:rsidR="009A3AFE" w:rsidRDefault="009A3AFE" w:rsidP="009A3AFE">
            <w:pPr>
              <w:spacing w:after="120"/>
              <w:rPr>
                <w:szCs w:val="24"/>
              </w:rPr>
            </w:pPr>
            <w:r>
              <w:rPr>
                <w:szCs w:val="24"/>
              </w:rPr>
              <w:t>Loans and Receivables</w:t>
            </w:r>
          </w:p>
        </w:tc>
        <w:tc>
          <w:tcPr>
            <w:tcW w:w="1985" w:type="dxa"/>
          </w:tcPr>
          <w:p w:rsidR="009A3AFE" w:rsidRDefault="009A3AFE" w:rsidP="009A3AFE">
            <w:pPr>
              <w:spacing w:after="120"/>
              <w:jc w:val="right"/>
              <w:rPr>
                <w:szCs w:val="24"/>
              </w:rPr>
            </w:pPr>
            <w:r>
              <w:rPr>
                <w:szCs w:val="24"/>
              </w:rPr>
              <w:t>150.1</w:t>
            </w:r>
          </w:p>
        </w:tc>
        <w:tc>
          <w:tcPr>
            <w:tcW w:w="2095" w:type="dxa"/>
          </w:tcPr>
          <w:p w:rsidR="009A3AFE" w:rsidRDefault="009A3AFE" w:rsidP="009A3AFE">
            <w:pPr>
              <w:spacing w:after="120"/>
              <w:jc w:val="right"/>
              <w:rPr>
                <w:szCs w:val="24"/>
              </w:rPr>
            </w:pPr>
            <w:r>
              <w:rPr>
                <w:szCs w:val="24"/>
              </w:rPr>
              <w:t>58.2</w:t>
            </w:r>
          </w:p>
        </w:tc>
        <w:tc>
          <w:tcPr>
            <w:tcW w:w="1449" w:type="dxa"/>
          </w:tcPr>
          <w:p w:rsidR="009A3AFE" w:rsidRDefault="009A3AFE" w:rsidP="009A3AFE">
            <w:pPr>
              <w:spacing w:after="120"/>
              <w:jc w:val="right"/>
              <w:rPr>
                <w:szCs w:val="24"/>
              </w:rPr>
            </w:pPr>
            <w:r>
              <w:rPr>
                <w:szCs w:val="24"/>
              </w:rPr>
              <w:t>150.1</w:t>
            </w:r>
          </w:p>
        </w:tc>
        <w:tc>
          <w:tcPr>
            <w:tcW w:w="1417" w:type="dxa"/>
          </w:tcPr>
          <w:p w:rsidR="009A3AFE" w:rsidRDefault="009A3AFE" w:rsidP="009A3AFE">
            <w:pPr>
              <w:spacing w:after="120"/>
              <w:jc w:val="right"/>
              <w:rPr>
                <w:szCs w:val="24"/>
              </w:rPr>
            </w:pPr>
            <w:r>
              <w:rPr>
                <w:szCs w:val="24"/>
              </w:rPr>
              <w:t>58.2</w:t>
            </w:r>
          </w:p>
        </w:tc>
      </w:tr>
      <w:tr w:rsidR="009A3AFE" w:rsidTr="009A3AFE">
        <w:tc>
          <w:tcPr>
            <w:tcW w:w="3357" w:type="dxa"/>
          </w:tcPr>
          <w:p w:rsidR="009A3AFE" w:rsidRPr="002903B7" w:rsidRDefault="009A3AFE" w:rsidP="009A3AFE">
            <w:pPr>
              <w:spacing w:after="120"/>
              <w:rPr>
                <w:b/>
                <w:szCs w:val="24"/>
              </w:rPr>
            </w:pPr>
            <w:r w:rsidRPr="002903B7">
              <w:rPr>
                <w:b/>
                <w:szCs w:val="24"/>
              </w:rPr>
              <w:t>Total Financial Assets</w:t>
            </w:r>
          </w:p>
        </w:tc>
        <w:tc>
          <w:tcPr>
            <w:tcW w:w="1985" w:type="dxa"/>
          </w:tcPr>
          <w:p w:rsidR="009A3AFE" w:rsidRPr="002903B7" w:rsidRDefault="009A3AFE" w:rsidP="009A3AFE">
            <w:pPr>
              <w:spacing w:after="120"/>
              <w:jc w:val="right"/>
              <w:rPr>
                <w:b/>
                <w:szCs w:val="24"/>
              </w:rPr>
            </w:pPr>
            <w:r>
              <w:rPr>
                <w:b/>
                <w:szCs w:val="24"/>
              </w:rPr>
              <w:t>3,497.6</w:t>
            </w:r>
          </w:p>
        </w:tc>
        <w:tc>
          <w:tcPr>
            <w:tcW w:w="2095" w:type="dxa"/>
          </w:tcPr>
          <w:p w:rsidR="009A3AFE" w:rsidRPr="002903B7" w:rsidRDefault="009A3AFE" w:rsidP="009A3AFE">
            <w:pPr>
              <w:spacing w:after="120"/>
              <w:jc w:val="right"/>
              <w:rPr>
                <w:b/>
                <w:szCs w:val="24"/>
              </w:rPr>
            </w:pPr>
            <w:r w:rsidRPr="002903B7">
              <w:rPr>
                <w:b/>
                <w:szCs w:val="24"/>
              </w:rPr>
              <w:t>3,342</w:t>
            </w:r>
            <w:r>
              <w:rPr>
                <w:b/>
                <w:szCs w:val="24"/>
              </w:rPr>
              <w:t>.2</w:t>
            </w:r>
          </w:p>
        </w:tc>
        <w:tc>
          <w:tcPr>
            <w:tcW w:w="1449" w:type="dxa"/>
          </w:tcPr>
          <w:p w:rsidR="009A3AFE" w:rsidRPr="002903B7" w:rsidRDefault="009A3AFE" w:rsidP="009A3AFE">
            <w:pPr>
              <w:spacing w:after="120"/>
              <w:jc w:val="right"/>
              <w:rPr>
                <w:b/>
                <w:szCs w:val="24"/>
              </w:rPr>
            </w:pPr>
            <w:r>
              <w:rPr>
                <w:b/>
                <w:szCs w:val="24"/>
              </w:rPr>
              <w:t>4,</w:t>
            </w:r>
            <w:r w:rsidRPr="002903B7">
              <w:rPr>
                <w:b/>
                <w:szCs w:val="24"/>
              </w:rPr>
              <w:t>0</w:t>
            </w:r>
            <w:r>
              <w:rPr>
                <w:b/>
                <w:szCs w:val="24"/>
              </w:rPr>
              <w:t>00.9</w:t>
            </w:r>
          </w:p>
        </w:tc>
        <w:tc>
          <w:tcPr>
            <w:tcW w:w="1417" w:type="dxa"/>
          </w:tcPr>
          <w:p w:rsidR="009A3AFE" w:rsidRPr="002903B7" w:rsidRDefault="009A3AFE" w:rsidP="009A3AFE">
            <w:pPr>
              <w:spacing w:after="120"/>
              <w:jc w:val="right"/>
              <w:rPr>
                <w:b/>
                <w:szCs w:val="24"/>
              </w:rPr>
            </w:pPr>
            <w:r w:rsidRPr="002903B7">
              <w:rPr>
                <w:b/>
                <w:szCs w:val="24"/>
              </w:rPr>
              <w:t>3,906</w:t>
            </w:r>
            <w:r>
              <w:rPr>
                <w:b/>
                <w:szCs w:val="24"/>
              </w:rPr>
              <w:t>.2</w:t>
            </w:r>
          </w:p>
        </w:tc>
      </w:tr>
      <w:tr w:rsidR="009A3AFE" w:rsidTr="009A3AFE">
        <w:tc>
          <w:tcPr>
            <w:tcW w:w="3357" w:type="dxa"/>
          </w:tcPr>
          <w:p w:rsidR="009A3AFE" w:rsidRPr="002903B7" w:rsidRDefault="009A3AFE" w:rsidP="009A3AFE">
            <w:pPr>
              <w:spacing w:after="120"/>
              <w:rPr>
                <w:b/>
                <w:szCs w:val="24"/>
              </w:rPr>
            </w:pPr>
            <w:r w:rsidRPr="002903B7">
              <w:rPr>
                <w:b/>
                <w:szCs w:val="24"/>
              </w:rPr>
              <w:t>Financial Liabilities</w:t>
            </w:r>
          </w:p>
        </w:tc>
        <w:tc>
          <w:tcPr>
            <w:tcW w:w="1985" w:type="dxa"/>
          </w:tcPr>
          <w:p w:rsidR="009A3AFE" w:rsidRDefault="009A3AFE" w:rsidP="009A3AFE">
            <w:pPr>
              <w:spacing w:after="120"/>
              <w:jc w:val="right"/>
              <w:rPr>
                <w:szCs w:val="24"/>
              </w:rPr>
            </w:pPr>
          </w:p>
        </w:tc>
        <w:tc>
          <w:tcPr>
            <w:tcW w:w="2095" w:type="dxa"/>
          </w:tcPr>
          <w:p w:rsidR="009A3AFE" w:rsidRDefault="009A3AFE" w:rsidP="009A3AFE">
            <w:pPr>
              <w:spacing w:after="120"/>
              <w:jc w:val="right"/>
              <w:rPr>
                <w:szCs w:val="24"/>
              </w:rPr>
            </w:pPr>
          </w:p>
        </w:tc>
        <w:tc>
          <w:tcPr>
            <w:tcW w:w="1449" w:type="dxa"/>
          </w:tcPr>
          <w:p w:rsidR="009A3AFE" w:rsidRDefault="009A3AFE" w:rsidP="009A3AFE">
            <w:pPr>
              <w:spacing w:after="120"/>
              <w:jc w:val="right"/>
              <w:rPr>
                <w:szCs w:val="24"/>
              </w:rPr>
            </w:pPr>
          </w:p>
        </w:tc>
        <w:tc>
          <w:tcPr>
            <w:tcW w:w="1417" w:type="dxa"/>
          </w:tcPr>
          <w:p w:rsidR="009A3AFE" w:rsidRDefault="009A3AFE" w:rsidP="009A3AFE">
            <w:pPr>
              <w:spacing w:after="120"/>
              <w:jc w:val="right"/>
              <w:rPr>
                <w:szCs w:val="24"/>
              </w:rPr>
            </w:pPr>
          </w:p>
        </w:tc>
      </w:tr>
      <w:tr w:rsidR="009A3AFE" w:rsidTr="009A3AFE">
        <w:tc>
          <w:tcPr>
            <w:tcW w:w="3357" w:type="dxa"/>
          </w:tcPr>
          <w:p w:rsidR="009A3AFE" w:rsidRDefault="009A3AFE" w:rsidP="009A3AFE">
            <w:pPr>
              <w:spacing w:after="120"/>
              <w:rPr>
                <w:szCs w:val="24"/>
              </w:rPr>
            </w:pPr>
            <w:r>
              <w:rPr>
                <w:szCs w:val="24"/>
              </w:rPr>
              <w:t>Trading and other financial assets at fair value through profit and loss</w:t>
            </w:r>
          </w:p>
        </w:tc>
        <w:tc>
          <w:tcPr>
            <w:tcW w:w="1985" w:type="dxa"/>
            <w:vAlign w:val="center"/>
          </w:tcPr>
          <w:p w:rsidR="009A3AFE" w:rsidRDefault="009A3AFE" w:rsidP="009A3AFE">
            <w:pPr>
              <w:spacing w:after="120"/>
              <w:jc w:val="right"/>
              <w:rPr>
                <w:szCs w:val="24"/>
              </w:rPr>
            </w:pPr>
            <w:r>
              <w:rPr>
                <w:szCs w:val="24"/>
              </w:rPr>
              <w:t>1.6</w:t>
            </w:r>
          </w:p>
        </w:tc>
        <w:tc>
          <w:tcPr>
            <w:tcW w:w="2095" w:type="dxa"/>
            <w:vAlign w:val="center"/>
          </w:tcPr>
          <w:p w:rsidR="009A3AFE" w:rsidRDefault="009A3AFE" w:rsidP="009A3AFE">
            <w:pPr>
              <w:spacing w:after="120"/>
              <w:jc w:val="right"/>
              <w:rPr>
                <w:szCs w:val="24"/>
              </w:rPr>
            </w:pPr>
            <w:r>
              <w:rPr>
                <w:szCs w:val="24"/>
              </w:rPr>
              <w:t>0.9</w:t>
            </w:r>
          </w:p>
        </w:tc>
        <w:tc>
          <w:tcPr>
            <w:tcW w:w="1449" w:type="dxa"/>
            <w:vAlign w:val="center"/>
          </w:tcPr>
          <w:p w:rsidR="009A3AFE" w:rsidRDefault="009A3AFE" w:rsidP="009A3AFE">
            <w:pPr>
              <w:spacing w:after="120"/>
              <w:jc w:val="right"/>
              <w:rPr>
                <w:szCs w:val="24"/>
              </w:rPr>
            </w:pPr>
            <w:r>
              <w:rPr>
                <w:szCs w:val="24"/>
              </w:rPr>
              <w:t>1.6</w:t>
            </w:r>
          </w:p>
        </w:tc>
        <w:tc>
          <w:tcPr>
            <w:tcW w:w="1417" w:type="dxa"/>
            <w:vAlign w:val="center"/>
          </w:tcPr>
          <w:p w:rsidR="009A3AFE" w:rsidRDefault="009A3AFE" w:rsidP="009A3AFE">
            <w:pPr>
              <w:spacing w:after="120"/>
              <w:jc w:val="right"/>
              <w:rPr>
                <w:szCs w:val="24"/>
              </w:rPr>
            </w:pPr>
            <w:r>
              <w:rPr>
                <w:szCs w:val="24"/>
              </w:rPr>
              <w:t>0.9</w:t>
            </w:r>
          </w:p>
        </w:tc>
      </w:tr>
      <w:tr w:rsidR="009A3AFE" w:rsidTr="009A3AFE">
        <w:tc>
          <w:tcPr>
            <w:tcW w:w="3357" w:type="dxa"/>
          </w:tcPr>
          <w:p w:rsidR="009A3AFE" w:rsidRDefault="009A3AFE" w:rsidP="009A3AFE">
            <w:pPr>
              <w:spacing w:after="120"/>
              <w:rPr>
                <w:szCs w:val="24"/>
              </w:rPr>
            </w:pPr>
            <w:r>
              <w:rPr>
                <w:szCs w:val="24"/>
              </w:rPr>
              <w:t>Financial liabilities at amortised cost</w:t>
            </w:r>
          </w:p>
        </w:tc>
        <w:tc>
          <w:tcPr>
            <w:tcW w:w="1985" w:type="dxa"/>
          </w:tcPr>
          <w:p w:rsidR="009A3AFE" w:rsidRDefault="009A3AFE" w:rsidP="009A3AFE">
            <w:pPr>
              <w:spacing w:after="120"/>
              <w:jc w:val="right"/>
              <w:rPr>
                <w:szCs w:val="24"/>
              </w:rPr>
            </w:pPr>
            <w:r>
              <w:rPr>
                <w:szCs w:val="24"/>
              </w:rPr>
              <w:t>3.2</w:t>
            </w:r>
          </w:p>
        </w:tc>
        <w:tc>
          <w:tcPr>
            <w:tcW w:w="2095" w:type="dxa"/>
          </w:tcPr>
          <w:p w:rsidR="009A3AFE" w:rsidRDefault="009A3AFE" w:rsidP="009A3AFE">
            <w:pPr>
              <w:spacing w:after="120"/>
              <w:jc w:val="right"/>
              <w:rPr>
                <w:szCs w:val="24"/>
              </w:rPr>
            </w:pPr>
            <w:r>
              <w:rPr>
                <w:szCs w:val="24"/>
              </w:rPr>
              <w:t>9.2</w:t>
            </w:r>
          </w:p>
        </w:tc>
        <w:tc>
          <w:tcPr>
            <w:tcW w:w="1449" w:type="dxa"/>
          </w:tcPr>
          <w:p w:rsidR="009A3AFE" w:rsidRDefault="009A3AFE" w:rsidP="009A3AFE">
            <w:pPr>
              <w:spacing w:after="120"/>
              <w:jc w:val="right"/>
              <w:rPr>
                <w:szCs w:val="24"/>
              </w:rPr>
            </w:pPr>
            <w:r>
              <w:rPr>
                <w:szCs w:val="24"/>
              </w:rPr>
              <w:t>3.2</w:t>
            </w:r>
          </w:p>
        </w:tc>
        <w:tc>
          <w:tcPr>
            <w:tcW w:w="1417" w:type="dxa"/>
          </w:tcPr>
          <w:p w:rsidR="009A3AFE" w:rsidRDefault="009A3AFE" w:rsidP="009A3AFE">
            <w:pPr>
              <w:spacing w:after="120"/>
              <w:jc w:val="right"/>
              <w:rPr>
                <w:szCs w:val="24"/>
              </w:rPr>
            </w:pPr>
            <w:r>
              <w:rPr>
                <w:szCs w:val="24"/>
              </w:rPr>
              <w:t>9.2</w:t>
            </w:r>
          </w:p>
        </w:tc>
      </w:tr>
      <w:tr w:rsidR="009A3AFE" w:rsidRPr="002903B7" w:rsidTr="009A3AFE">
        <w:tc>
          <w:tcPr>
            <w:tcW w:w="3357" w:type="dxa"/>
          </w:tcPr>
          <w:p w:rsidR="009A3AFE" w:rsidRPr="002903B7" w:rsidRDefault="009A3AFE" w:rsidP="009A3AFE">
            <w:pPr>
              <w:spacing w:after="120"/>
              <w:rPr>
                <w:b/>
                <w:szCs w:val="24"/>
              </w:rPr>
            </w:pPr>
            <w:r w:rsidRPr="002903B7">
              <w:rPr>
                <w:b/>
                <w:szCs w:val="24"/>
              </w:rPr>
              <w:t>Total Financial Liabilities</w:t>
            </w:r>
          </w:p>
        </w:tc>
        <w:tc>
          <w:tcPr>
            <w:tcW w:w="1985" w:type="dxa"/>
          </w:tcPr>
          <w:p w:rsidR="009A3AFE" w:rsidRPr="002903B7" w:rsidRDefault="009A3AFE" w:rsidP="009A3AFE">
            <w:pPr>
              <w:spacing w:after="120"/>
              <w:jc w:val="right"/>
              <w:rPr>
                <w:b/>
                <w:szCs w:val="24"/>
              </w:rPr>
            </w:pPr>
            <w:r>
              <w:rPr>
                <w:b/>
                <w:szCs w:val="24"/>
              </w:rPr>
              <w:t>4.8</w:t>
            </w:r>
          </w:p>
        </w:tc>
        <w:tc>
          <w:tcPr>
            <w:tcW w:w="2095" w:type="dxa"/>
          </w:tcPr>
          <w:p w:rsidR="009A3AFE" w:rsidRPr="002903B7" w:rsidRDefault="009A3AFE" w:rsidP="009A3AFE">
            <w:pPr>
              <w:spacing w:after="120"/>
              <w:jc w:val="right"/>
              <w:rPr>
                <w:b/>
                <w:szCs w:val="24"/>
              </w:rPr>
            </w:pPr>
            <w:r>
              <w:rPr>
                <w:b/>
                <w:szCs w:val="24"/>
              </w:rPr>
              <w:t>10.1</w:t>
            </w:r>
          </w:p>
        </w:tc>
        <w:tc>
          <w:tcPr>
            <w:tcW w:w="1449" w:type="dxa"/>
          </w:tcPr>
          <w:p w:rsidR="009A3AFE" w:rsidRPr="002903B7" w:rsidRDefault="009A3AFE" w:rsidP="009A3AFE">
            <w:pPr>
              <w:spacing w:after="120"/>
              <w:jc w:val="right"/>
              <w:rPr>
                <w:b/>
                <w:szCs w:val="24"/>
              </w:rPr>
            </w:pPr>
            <w:r>
              <w:rPr>
                <w:b/>
                <w:szCs w:val="24"/>
              </w:rPr>
              <w:t>4.8</w:t>
            </w:r>
          </w:p>
        </w:tc>
        <w:tc>
          <w:tcPr>
            <w:tcW w:w="1417" w:type="dxa"/>
          </w:tcPr>
          <w:p w:rsidR="009A3AFE" w:rsidRPr="002903B7" w:rsidRDefault="009A3AFE" w:rsidP="009A3AFE">
            <w:pPr>
              <w:spacing w:after="120"/>
              <w:jc w:val="right"/>
              <w:rPr>
                <w:b/>
                <w:szCs w:val="24"/>
              </w:rPr>
            </w:pPr>
            <w:r>
              <w:rPr>
                <w:b/>
                <w:szCs w:val="24"/>
              </w:rPr>
              <w:t>10.1</w:t>
            </w:r>
          </w:p>
        </w:tc>
      </w:tr>
    </w:tbl>
    <w:p w:rsidR="009A3AFE" w:rsidRDefault="009A3AFE" w:rsidP="009A3AFE">
      <w:pPr>
        <w:spacing w:after="120"/>
        <w:ind w:left="720"/>
        <w:rPr>
          <w:szCs w:val="24"/>
        </w:rPr>
      </w:pPr>
    </w:p>
    <w:p w:rsidR="009A3AFE" w:rsidRDefault="009A3AFE" w:rsidP="009A3AFE">
      <w:pPr>
        <w:pStyle w:val="ListParagraph"/>
        <w:numPr>
          <w:ilvl w:val="0"/>
          <w:numId w:val="2"/>
        </w:numPr>
        <w:rPr>
          <w:b/>
        </w:rPr>
      </w:pPr>
      <w:r w:rsidRPr="000637CA">
        <w:rPr>
          <w:b/>
        </w:rPr>
        <w:t xml:space="preserve">Financial Instruments – Valuation </w:t>
      </w:r>
    </w:p>
    <w:p w:rsidR="009A3AFE" w:rsidRPr="000637CA" w:rsidRDefault="009A3AFE" w:rsidP="009A3AFE">
      <w:pPr>
        <w:pStyle w:val="ListParagraph"/>
        <w:rPr>
          <w:b/>
        </w:rPr>
      </w:pPr>
    </w:p>
    <w:p w:rsidR="009A3AFE" w:rsidRDefault="009A3AFE" w:rsidP="009A3AFE">
      <w:pPr>
        <w:ind w:left="720"/>
        <w:rPr>
          <w:b/>
        </w:rPr>
      </w:pPr>
      <w:r>
        <w:rPr>
          <w:b/>
        </w:rPr>
        <w:t>Valuation of financial instruments carried at fair value</w:t>
      </w:r>
    </w:p>
    <w:p w:rsidR="009A3AFE" w:rsidRDefault="009A3AFE" w:rsidP="009A3AFE">
      <w:pPr>
        <w:ind w:left="720"/>
        <w:rPr>
          <w:b/>
        </w:rPr>
      </w:pPr>
    </w:p>
    <w:p w:rsidR="009A3AFE" w:rsidRDefault="009A3AFE" w:rsidP="009A3AFE">
      <w:pPr>
        <w:ind w:left="720"/>
        <w:rPr>
          <w:szCs w:val="24"/>
        </w:rPr>
      </w:pPr>
      <w:r w:rsidRPr="000637CA">
        <w:rPr>
          <w:szCs w:val="24"/>
        </w:rPr>
        <w:t>The valuation of financial instruments has been classified into three levels according to quality and reliability of information used to determine fair values.</w:t>
      </w:r>
    </w:p>
    <w:p w:rsidR="009A3AFE" w:rsidRPr="000637CA" w:rsidRDefault="009A3AFE" w:rsidP="009A3AFE">
      <w:pPr>
        <w:ind w:left="720"/>
        <w:rPr>
          <w:szCs w:val="24"/>
        </w:rPr>
      </w:pPr>
    </w:p>
    <w:p w:rsidR="009A3AFE" w:rsidRDefault="009A3AFE" w:rsidP="009A3AFE">
      <w:pPr>
        <w:ind w:left="720"/>
        <w:rPr>
          <w:b/>
          <w:sz w:val="22"/>
          <w:szCs w:val="22"/>
        </w:rPr>
      </w:pPr>
      <w:r w:rsidRPr="00C92E34">
        <w:rPr>
          <w:b/>
          <w:sz w:val="22"/>
          <w:szCs w:val="22"/>
        </w:rPr>
        <w:t>Level 1</w:t>
      </w:r>
    </w:p>
    <w:p w:rsidR="009A3AFE" w:rsidRDefault="009A3AFE" w:rsidP="009A3AFE">
      <w:pPr>
        <w:ind w:left="720"/>
        <w:rPr>
          <w:b/>
          <w:sz w:val="22"/>
          <w:szCs w:val="22"/>
        </w:rPr>
      </w:pPr>
    </w:p>
    <w:p w:rsidR="009A3AFE" w:rsidRDefault="009A3AFE" w:rsidP="009A3AFE">
      <w:pPr>
        <w:ind w:left="720"/>
        <w:rPr>
          <w:szCs w:val="24"/>
        </w:rPr>
      </w:pPr>
      <w:r w:rsidRPr="000637CA">
        <w:rPr>
          <w:szCs w:val="24"/>
        </w:rPr>
        <w:t>Level 1 fair value measurements are those derived from unadjusted quoted prices in active markets for identical assets or liabilities.  Products classified as level 1 comprise quoted equities, quoted fixed securities, quoted index linked securities and unit trusts.</w:t>
      </w:r>
    </w:p>
    <w:p w:rsidR="009A3AFE" w:rsidRPr="000637CA" w:rsidRDefault="009A3AFE" w:rsidP="009A3AFE">
      <w:pPr>
        <w:ind w:left="720"/>
        <w:rPr>
          <w:szCs w:val="24"/>
        </w:rPr>
      </w:pPr>
    </w:p>
    <w:p w:rsidR="009A3AFE" w:rsidRDefault="009A3AFE" w:rsidP="009A3AFE">
      <w:pPr>
        <w:ind w:left="720"/>
        <w:rPr>
          <w:szCs w:val="24"/>
        </w:rPr>
      </w:pPr>
      <w:r w:rsidRPr="000637CA">
        <w:rPr>
          <w:szCs w:val="24"/>
        </w:rPr>
        <w:t>Listed investments are shown at bid prices.  The bid value of the investment is based on the bid market quotation of the relevant stock exchange.</w:t>
      </w:r>
    </w:p>
    <w:p w:rsidR="009A3AFE" w:rsidRPr="000637CA" w:rsidRDefault="009A3AFE" w:rsidP="009A3AFE">
      <w:pPr>
        <w:ind w:left="720"/>
        <w:rPr>
          <w:szCs w:val="24"/>
        </w:rPr>
      </w:pPr>
    </w:p>
    <w:p w:rsidR="009A3AFE" w:rsidRDefault="009A3AFE" w:rsidP="009A3AFE">
      <w:pPr>
        <w:ind w:left="720"/>
        <w:rPr>
          <w:b/>
          <w:sz w:val="22"/>
          <w:szCs w:val="22"/>
        </w:rPr>
      </w:pPr>
      <w:r w:rsidRPr="00B94BBC">
        <w:rPr>
          <w:b/>
          <w:sz w:val="22"/>
          <w:szCs w:val="22"/>
        </w:rPr>
        <w:t>Level 2</w:t>
      </w:r>
    </w:p>
    <w:p w:rsidR="009A3AFE" w:rsidRPr="00B94BBC" w:rsidRDefault="009A3AFE" w:rsidP="009A3AFE">
      <w:pPr>
        <w:ind w:left="720"/>
        <w:rPr>
          <w:b/>
          <w:sz w:val="22"/>
          <w:szCs w:val="22"/>
        </w:rPr>
      </w:pPr>
    </w:p>
    <w:p w:rsidR="009A3AFE" w:rsidRDefault="009A3AFE" w:rsidP="009A3AFE">
      <w:pPr>
        <w:ind w:left="720"/>
        <w:rPr>
          <w:szCs w:val="24"/>
        </w:rPr>
      </w:pPr>
      <w:r w:rsidRPr="000637CA">
        <w:rPr>
          <w:szCs w:val="24"/>
        </w:rPr>
        <w:t xml:space="preserve">Level 2 investments are those where quoted market prices are not available, for example where an instrument is traded in a market that is not considered to be active or valuation techniques are used to determine fair value and where these techniques use inputs that are based significantly on observable market data.  </w:t>
      </w:r>
    </w:p>
    <w:p w:rsidR="009A3AFE" w:rsidRPr="00013491" w:rsidRDefault="009A3AFE" w:rsidP="009A3AFE">
      <w:pPr>
        <w:ind w:left="720"/>
        <w:rPr>
          <w:szCs w:val="24"/>
        </w:rPr>
      </w:pPr>
    </w:p>
    <w:p w:rsidR="009A3AFE" w:rsidRDefault="009A3AFE" w:rsidP="009A3AFE">
      <w:pPr>
        <w:ind w:left="720"/>
        <w:rPr>
          <w:b/>
          <w:sz w:val="22"/>
          <w:szCs w:val="22"/>
        </w:rPr>
      </w:pPr>
      <w:r w:rsidRPr="00B94BBC">
        <w:rPr>
          <w:b/>
          <w:sz w:val="22"/>
          <w:szCs w:val="22"/>
        </w:rPr>
        <w:t>Level 3</w:t>
      </w:r>
    </w:p>
    <w:p w:rsidR="009A3AFE" w:rsidRPr="00B94BBC" w:rsidRDefault="009A3AFE" w:rsidP="009A3AFE">
      <w:pPr>
        <w:ind w:left="720"/>
        <w:rPr>
          <w:b/>
          <w:sz w:val="22"/>
          <w:szCs w:val="22"/>
        </w:rPr>
      </w:pPr>
    </w:p>
    <w:p w:rsidR="009A3AFE" w:rsidRDefault="009A3AFE" w:rsidP="009A3AFE">
      <w:pPr>
        <w:ind w:left="720"/>
        <w:rPr>
          <w:sz w:val="22"/>
          <w:szCs w:val="22"/>
        </w:rPr>
      </w:pPr>
      <w:r w:rsidRPr="000637CA">
        <w:rPr>
          <w:szCs w:val="24"/>
        </w:rPr>
        <w:t>Level 3 portfolios are those where at least one input which could have a significant effect on the instrument's valuation is not based on observable market data.  Such instruments would include unquoted equity investments and hedge fund</w:t>
      </w:r>
      <w:r>
        <w:rPr>
          <w:szCs w:val="24"/>
        </w:rPr>
        <w:t xml:space="preserve"> of funds</w:t>
      </w:r>
      <w:r w:rsidRPr="000637CA">
        <w:rPr>
          <w:szCs w:val="24"/>
        </w:rPr>
        <w:t xml:space="preserve">, </w:t>
      </w:r>
      <w:r w:rsidRPr="000637CA">
        <w:rPr>
          <w:szCs w:val="24"/>
        </w:rPr>
        <w:lastRenderedPageBreak/>
        <w:t>which are valued using various valuation techniques that require significant judgement in determining appropriate assumptions</w:t>
      </w:r>
      <w:r>
        <w:rPr>
          <w:sz w:val="22"/>
          <w:szCs w:val="22"/>
        </w:rPr>
        <w:t>.</w:t>
      </w:r>
    </w:p>
    <w:p w:rsidR="009A3AFE" w:rsidRDefault="009A3AFE" w:rsidP="009A3AFE">
      <w:pPr>
        <w:ind w:left="720"/>
        <w:rPr>
          <w:sz w:val="22"/>
          <w:szCs w:val="22"/>
        </w:rPr>
      </w:pPr>
    </w:p>
    <w:p w:rsidR="009A3AFE" w:rsidRDefault="009A3AFE" w:rsidP="009A3AFE">
      <w:pPr>
        <w:ind w:left="720"/>
        <w:rPr>
          <w:szCs w:val="24"/>
        </w:rPr>
      </w:pPr>
      <w:r w:rsidRPr="000637CA">
        <w:rPr>
          <w:szCs w:val="24"/>
        </w:rPr>
        <w:t>The values of the investment in private equity are based on valuations provided by the general partners to the private equity funds in which Lancashire County Pension Fund has invested.  These valuations are prepared in accordance with the International Private Equity and Venture Capital Valuation Guidelines, which follow the valuation principles of IFRS and US GAAP.  Valuations are performed annually mainly</w:t>
      </w:r>
      <w:r>
        <w:rPr>
          <w:szCs w:val="24"/>
        </w:rPr>
        <w:t>,</w:t>
      </w:r>
      <w:r w:rsidRPr="000637CA">
        <w:rPr>
          <w:szCs w:val="24"/>
        </w:rPr>
        <w:t xml:space="preserve"> and </w:t>
      </w:r>
      <w:r>
        <w:rPr>
          <w:szCs w:val="24"/>
        </w:rPr>
        <w:t xml:space="preserve">at </w:t>
      </w:r>
      <w:r w:rsidRPr="000637CA">
        <w:rPr>
          <w:szCs w:val="24"/>
        </w:rPr>
        <w:t>the end of December.  Cash flow adjustments are used to roll forward the valuations to 31 March as appropriate.</w:t>
      </w:r>
    </w:p>
    <w:p w:rsidR="009A3AFE" w:rsidRPr="000637CA" w:rsidRDefault="009A3AFE" w:rsidP="009A3AFE">
      <w:pPr>
        <w:ind w:left="720"/>
        <w:rPr>
          <w:szCs w:val="24"/>
        </w:rPr>
      </w:pPr>
    </w:p>
    <w:p w:rsidR="009A3AFE" w:rsidRDefault="009A3AFE" w:rsidP="009A3AFE">
      <w:pPr>
        <w:ind w:left="720"/>
        <w:rPr>
          <w:szCs w:val="24"/>
        </w:rPr>
      </w:pPr>
      <w:r w:rsidRPr="000637CA">
        <w:rPr>
          <w:szCs w:val="24"/>
        </w:rPr>
        <w:t>The table below provides an analysis of the financial assets and liabilities of the Pension Fund grouped into level 1 to 3 based on the level of which the fair value is observable.</w:t>
      </w:r>
    </w:p>
    <w:p w:rsidR="009A3AFE" w:rsidRDefault="009A3AFE" w:rsidP="009A3AFE">
      <w:pPr>
        <w:ind w:left="720"/>
        <w:rPr>
          <w:szCs w:val="24"/>
        </w:rPr>
      </w:pPr>
    </w:p>
    <w:tbl>
      <w:tblPr>
        <w:tblStyle w:val="TableGrid"/>
        <w:tblW w:w="1030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57"/>
        <w:gridCol w:w="1985"/>
        <w:gridCol w:w="2095"/>
        <w:gridCol w:w="1449"/>
        <w:gridCol w:w="1417"/>
      </w:tblGrid>
      <w:tr w:rsidR="009A3AFE" w:rsidRPr="00FB0F1F" w:rsidTr="009A3AFE">
        <w:tc>
          <w:tcPr>
            <w:tcW w:w="3357" w:type="dxa"/>
          </w:tcPr>
          <w:p w:rsidR="009A3AFE" w:rsidRPr="00FB0F1F" w:rsidRDefault="009A3AFE" w:rsidP="009A3AFE">
            <w:pPr>
              <w:jc w:val="center"/>
              <w:rPr>
                <w:b/>
                <w:szCs w:val="24"/>
              </w:rPr>
            </w:pPr>
            <w:r>
              <w:rPr>
                <w:b/>
                <w:szCs w:val="24"/>
              </w:rPr>
              <w:t>2012</w:t>
            </w:r>
          </w:p>
        </w:tc>
        <w:tc>
          <w:tcPr>
            <w:tcW w:w="1985" w:type="dxa"/>
          </w:tcPr>
          <w:p w:rsidR="009A3AFE" w:rsidRPr="00FB0F1F" w:rsidRDefault="009A3AFE" w:rsidP="009A3AFE">
            <w:pPr>
              <w:jc w:val="right"/>
              <w:rPr>
                <w:b/>
                <w:szCs w:val="24"/>
              </w:rPr>
            </w:pPr>
            <w:r>
              <w:rPr>
                <w:b/>
                <w:szCs w:val="24"/>
              </w:rPr>
              <w:t>Level 1</w:t>
            </w:r>
          </w:p>
        </w:tc>
        <w:tc>
          <w:tcPr>
            <w:tcW w:w="2095" w:type="dxa"/>
          </w:tcPr>
          <w:p w:rsidR="009A3AFE" w:rsidRPr="00FB0F1F" w:rsidRDefault="009A3AFE" w:rsidP="009A3AFE">
            <w:pPr>
              <w:jc w:val="right"/>
              <w:rPr>
                <w:b/>
                <w:szCs w:val="24"/>
              </w:rPr>
            </w:pPr>
            <w:r>
              <w:rPr>
                <w:b/>
                <w:szCs w:val="24"/>
              </w:rPr>
              <w:t>Level 2</w:t>
            </w:r>
          </w:p>
        </w:tc>
        <w:tc>
          <w:tcPr>
            <w:tcW w:w="1449" w:type="dxa"/>
          </w:tcPr>
          <w:p w:rsidR="009A3AFE" w:rsidRPr="00FB0F1F" w:rsidRDefault="009A3AFE" w:rsidP="009A3AFE">
            <w:pPr>
              <w:jc w:val="right"/>
              <w:rPr>
                <w:b/>
                <w:szCs w:val="24"/>
              </w:rPr>
            </w:pPr>
            <w:r>
              <w:rPr>
                <w:b/>
                <w:szCs w:val="24"/>
              </w:rPr>
              <w:t>Level 3</w:t>
            </w:r>
          </w:p>
        </w:tc>
        <w:tc>
          <w:tcPr>
            <w:tcW w:w="1417" w:type="dxa"/>
          </w:tcPr>
          <w:p w:rsidR="009A3AFE" w:rsidRPr="00FB0F1F" w:rsidRDefault="009A3AFE" w:rsidP="009A3AFE">
            <w:pPr>
              <w:jc w:val="right"/>
              <w:rPr>
                <w:b/>
                <w:szCs w:val="24"/>
              </w:rPr>
            </w:pPr>
            <w:r>
              <w:rPr>
                <w:b/>
                <w:szCs w:val="24"/>
              </w:rPr>
              <w:t>Total</w:t>
            </w:r>
          </w:p>
        </w:tc>
      </w:tr>
      <w:tr w:rsidR="009A3AFE" w:rsidRPr="00FB0F1F" w:rsidTr="009A3AFE">
        <w:tc>
          <w:tcPr>
            <w:tcW w:w="3357" w:type="dxa"/>
          </w:tcPr>
          <w:p w:rsidR="009A3AFE" w:rsidRPr="00FB0F1F" w:rsidRDefault="009A3AFE" w:rsidP="009A3AFE">
            <w:pPr>
              <w:rPr>
                <w:b/>
                <w:szCs w:val="24"/>
              </w:rPr>
            </w:pPr>
          </w:p>
        </w:tc>
        <w:tc>
          <w:tcPr>
            <w:tcW w:w="1985" w:type="dxa"/>
          </w:tcPr>
          <w:p w:rsidR="009A3AFE" w:rsidRPr="00FB0F1F" w:rsidRDefault="009A3AFE" w:rsidP="009A3AFE">
            <w:pPr>
              <w:jc w:val="right"/>
              <w:rPr>
                <w:b/>
                <w:szCs w:val="24"/>
              </w:rPr>
            </w:pPr>
            <w:r>
              <w:rPr>
                <w:b/>
                <w:szCs w:val="24"/>
              </w:rPr>
              <w:t>£m</w:t>
            </w:r>
          </w:p>
        </w:tc>
        <w:tc>
          <w:tcPr>
            <w:tcW w:w="2095" w:type="dxa"/>
          </w:tcPr>
          <w:p w:rsidR="009A3AFE" w:rsidRPr="00FB0F1F" w:rsidRDefault="009A3AFE" w:rsidP="009A3AFE">
            <w:pPr>
              <w:jc w:val="right"/>
              <w:rPr>
                <w:b/>
                <w:szCs w:val="24"/>
              </w:rPr>
            </w:pPr>
            <w:r>
              <w:rPr>
                <w:b/>
                <w:szCs w:val="24"/>
              </w:rPr>
              <w:t>£m</w:t>
            </w:r>
          </w:p>
        </w:tc>
        <w:tc>
          <w:tcPr>
            <w:tcW w:w="1449" w:type="dxa"/>
          </w:tcPr>
          <w:p w:rsidR="009A3AFE" w:rsidRPr="00FB0F1F" w:rsidRDefault="009A3AFE" w:rsidP="009A3AFE">
            <w:pPr>
              <w:jc w:val="right"/>
              <w:rPr>
                <w:b/>
                <w:szCs w:val="24"/>
              </w:rPr>
            </w:pPr>
            <w:r>
              <w:rPr>
                <w:b/>
                <w:szCs w:val="24"/>
              </w:rPr>
              <w:t>£m</w:t>
            </w:r>
          </w:p>
        </w:tc>
        <w:tc>
          <w:tcPr>
            <w:tcW w:w="1417" w:type="dxa"/>
          </w:tcPr>
          <w:p w:rsidR="009A3AFE" w:rsidRPr="00FB0F1F" w:rsidRDefault="009A3AFE" w:rsidP="009A3AFE">
            <w:pPr>
              <w:jc w:val="right"/>
              <w:rPr>
                <w:b/>
                <w:szCs w:val="24"/>
              </w:rPr>
            </w:pPr>
            <w:r>
              <w:rPr>
                <w:b/>
                <w:szCs w:val="24"/>
              </w:rPr>
              <w:t>£m</w:t>
            </w:r>
          </w:p>
        </w:tc>
      </w:tr>
      <w:tr w:rsidR="009A3AFE" w:rsidTr="009A3AFE">
        <w:tc>
          <w:tcPr>
            <w:tcW w:w="3357" w:type="dxa"/>
          </w:tcPr>
          <w:p w:rsidR="009A3AFE" w:rsidRPr="002903B7" w:rsidRDefault="009A3AFE" w:rsidP="009A3AFE">
            <w:pPr>
              <w:spacing w:after="120"/>
              <w:rPr>
                <w:b/>
                <w:szCs w:val="24"/>
              </w:rPr>
            </w:pPr>
            <w:r w:rsidRPr="002903B7">
              <w:rPr>
                <w:b/>
                <w:szCs w:val="24"/>
              </w:rPr>
              <w:t>Financial assets</w:t>
            </w:r>
          </w:p>
        </w:tc>
        <w:tc>
          <w:tcPr>
            <w:tcW w:w="1985" w:type="dxa"/>
          </w:tcPr>
          <w:p w:rsidR="009A3AFE" w:rsidRDefault="009A3AFE" w:rsidP="009A3AFE">
            <w:pPr>
              <w:spacing w:after="120"/>
              <w:jc w:val="right"/>
              <w:rPr>
                <w:szCs w:val="24"/>
              </w:rPr>
            </w:pPr>
          </w:p>
        </w:tc>
        <w:tc>
          <w:tcPr>
            <w:tcW w:w="2095" w:type="dxa"/>
          </w:tcPr>
          <w:p w:rsidR="009A3AFE" w:rsidRDefault="009A3AFE" w:rsidP="009A3AFE">
            <w:pPr>
              <w:spacing w:after="120"/>
              <w:jc w:val="right"/>
              <w:rPr>
                <w:szCs w:val="24"/>
              </w:rPr>
            </w:pPr>
          </w:p>
        </w:tc>
        <w:tc>
          <w:tcPr>
            <w:tcW w:w="1449" w:type="dxa"/>
          </w:tcPr>
          <w:p w:rsidR="009A3AFE" w:rsidRDefault="009A3AFE" w:rsidP="009A3AFE">
            <w:pPr>
              <w:spacing w:after="120"/>
              <w:jc w:val="right"/>
              <w:rPr>
                <w:szCs w:val="24"/>
              </w:rPr>
            </w:pPr>
          </w:p>
        </w:tc>
        <w:tc>
          <w:tcPr>
            <w:tcW w:w="1417" w:type="dxa"/>
          </w:tcPr>
          <w:p w:rsidR="009A3AFE" w:rsidRDefault="009A3AFE" w:rsidP="009A3AFE">
            <w:pPr>
              <w:spacing w:after="120"/>
              <w:jc w:val="right"/>
              <w:rPr>
                <w:szCs w:val="24"/>
              </w:rPr>
            </w:pPr>
          </w:p>
        </w:tc>
      </w:tr>
      <w:tr w:rsidR="009A3AFE" w:rsidRPr="00CA707F" w:rsidTr="009A3AFE">
        <w:tc>
          <w:tcPr>
            <w:tcW w:w="3357" w:type="dxa"/>
          </w:tcPr>
          <w:p w:rsidR="009A3AFE" w:rsidRPr="00CA707F" w:rsidRDefault="009A3AFE" w:rsidP="009A3AFE">
            <w:pPr>
              <w:spacing w:after="120"/>
              <w:rPr>
                <w:szCs w:val="24"/>
              </w:rPr>
            </w:pPr>
            <w:r>
              <w:rPr>
                <w:szCs w:val="24"/>
              </w:rPr>
              <w:t>Financial assets at fair value through profit and loss</w:t>
            </w:r>
          </w:p>
        </w:tc>
        <w:tc>
          <w:tcPr>
            <w:tcW w:w="1985" w:type="dxa"/>
          </w:tcPr>
          <w:p w:rsidR="009A3AFE" w:rsidRPr="00CA707F" w:rsidRDefault="009A3AFE" w:rsidP="009A3AFE">
            <w:pPr>
              <w:spacing w:after="120"/>
              <w:jc w:val="right"/>
              <w:rPr>
                <w:szCs w:val="24"/>
              </w:rPr>
            </w:pPr>
            <w:r>
              <w:rPr>
                <w:szCs w:val="24"/>
              </w:rPr>
              <w:t xml:space="preserve">3563.3   </w:t>
            </w:r>
          </w:p>
        </w:tc>
        <w:tc>
          <w:tcPr>
            <w:tcW w:w="2095" w:type="dxa"/>
          </w:tcPr>
          <w:p w:rsidR="009A3AFE" w:rsidRPr="00CA707F" w:rsidRDefault="009A3AFE" w:rsidP="009A3AFE">
            <w:pPr>
              <w:spacing w:after="120"/>
              <w:jc w:val="right"/>
              <w:rPr>
                <w:szCs w:val="24"/>
              </w:rPr>
            </w:pPr>
            <w:r>
              <w:rPr>
                <w:szCs w:val="24"/>
              </w:rPr>
              <w:t>-</w:t>
            </w:r>
          </w:p>
        </w:tc>
        <w:tc>
          <w:tcPr>
            <w:tcW w:w="1449" w:type="dxa"/>
          </w:tcPr>
          <w:p w:rsidR="009A3AFE" w:rsidRPr="00CA707F" w:rsidRDefault="009A3AFE" w:rsidP="009A3AFE">
            <w:pPr>
              <w:spacing w:after="120"/>
              <w:jc w:val="right"/>
              <w:rPr>
                <w:szCs w:val="24"/>
              </w:rPr>
            </w:pPr>
            <w:r>
              <w:rPr>
                <w:szCs w:val="24"/>
              </w:rPr>
              <w:t>287.5</w:t>
            </w:r>
          </w:p>
        </w:tc>
        <w:tc>
          <w:tcPr>
            <w:tcW w:w="1417" w:type="dxa"/>
          </w:tcPr>
          <w:p w:rsidR="009A3AFE" w:rsidRPr="00CA707F" w:rsidRDefault="009A3AFE" w:rsidP="009A3AFE">
            <w:pPr>
              <w:spacing w:after="120"/>
              <w:jc w:val="right"/>
              <w:rPr>
                <w:szCs w:val="24"/>
              </w:rPr>
            </w:pPr>
            <w:r>
              <w:rPr>
                <w:szCs w:val="24"/>
              </w:rPr>
              <w:t>3850.8</w:t>
            </w:r>
          </w:p>
        </w:tc>
      </w:tr>
      <w:tr w:rsidR="009A3AFE" w:rsidRPr="00CA707F" w:rsidTr="009A3AFE">
        <w:tc>
          <w:tcPr>
            <w:tcW w:w="3357" w:type="dxa"/>
          </w:tcPr>
          <w:p w:rsidR="009A3AFE" w:rsidRDefault="009A3AFE" w:rsidP="009A3AFE">
            <w:pPr>
              <w:spacing w:after="120"/>
              <w:rPr>
                <w:szCs w:val="24"/>
              </w:rPr>
            </w:pPr>
            <w:r>
              <w:rPr>
                <w:szCs w:val="24"/>
              </w:rPr>
              <w:t>Loans and Receivables</w:t>
            </w:r>
          </w:p>
        </w:tc>
        <w:tc>
          <w:tcPr>
            <w:tcW w:w="1985" w:type="dxa"/>
          </w:tcPr>
          <w:p w:rsidR="009A3AFE" w:rsidRPr="00CA707F" w:rsidRDefault="009A3AFE" w:rsidP="009A3AFE">
            <w:pPr>
              <w:spacing w:after="120"/>
              <w:jc w:val="right"/>
              <w:rPr>
                <w:szCs w:val="24"/>
              </w:rPr>
            </w:pPr>
            <w:r>
              <w:rPr>
                <w:szCs w:val="24"/>
              </w:rPr>
              <w:t>150.1</w:t>
            </w:r>
          </w:p>
        </w:tc>
        <w:tc>
          <w:tcPr>
            <w:tcW w:w="2095" w:type="dxa"/>
          </w:tcPr>
          <w:p w:rsidR="009A3AFE" w:rsidRPr="00CA707F" w:rsidRDefault="009A3AFE" w:rsidP="009A3AFE">
            <w:pPr>
              <w:spacing w:after="120"/>
              <w:jc w:val="right"/>
              <w:rPr>
                <w:szCs w:val="24"/>
              </w:rPr>
            </w:pPr>
            <w:r>
              <w:rPr>
                <w:szCs w:val="24"/>
              </w:rPr>
              <w:t>-</w:t>
            </w:r>
          </w:p>
        </w:tc>
        <w:tc>
          <w:tcPr>
            <w:tcW w:w="1449" w:type="dxa"/>
          </w:tcPr>
          <w:p w:rsidR="009A3AFE" w:rsidRPr="00CA707F" w:rsidRDefault="009A3AFE" w:rsidP="009A3AFE">
            <w:pPr>
              <w:spacing w:after="120"/>
              <w:jc w:val="right"/>
              <w:rPr>
                <w:szCs w:val="24"/>
              </w:rPr>
            </w:pPr>
            <w:r>
              <w:rPr>
                <w:szCs w:val="24"/>
              </w:rPr>
              <w:t>-</w:t>
            </w:r>
          </w:p>
        </w:tc>
        <w:tc>
          <w:tcPr>
            <w:tcW w:w="1417" w:type="dxa"/>
          </w:tcPr>
          <w:p w:rsidR="009A3AFE" w:rsidRDefault="009A3AFE" w:rsidP="009A3AFE">
            <w:pPr>
              <w:spacing w:after="120"/>
              <w:jc w:val="right"/>
              <w:rPr>
                <w:szCs w:val="24"/>
              </w:rPr>
            </w:pPr>
            <w:r>
              <w:rPr>
                <w:szCs w:val="24"/>
              </w:rPr>
              <w:t>150.1</w:t>
            </w:r>
          </w:p>
        </w:tc>
      </w:tr>
      <w:tr w:rsidR="009A3AFE" w:rsidRPr="00CA707F" w:rsidTr="009A3AFE">
        <w:tc>
          <w:tcPr>
            <w:tcW w:w="3357" w:type="dxa"/>
          </w:tcPr>
          <w:p w:rsidR="009A3AFE" w:rsidRPr="00CA707F" w:rsidRDefault="009A3AFE" w:rsidP="009A3AFE">
            <w:pPr>
              <w:spacing w:after="360"/>
              <w:rPr>
                <w:b/>
                <w:szCs w:val="24"/>
              </w:rPr>
            </w:pPr>
            <w:r w:rsidRPr="00CA707F">
              <w:rPr>
                <w:b/>
                <w:szCs w:val="24"/>
              </w:rPr>
              <w:t>Total Financial assets</w:t>
            </w:r>
          </w:p>
        </w:tc>
        <w:tc>
          <w:tcPr>
            <w:tcW w:w="1985" w:type="dxa"/>
          </w:tcPr>
          <w:p w:rsidR="009A3AFE" w:rsidRPr="00CA707F" w:rsidRDefault="009A3AFE" w:rsidP="009A3AFE">
            <w:pPr>
              <w:spacing w:after="120"/>
              <w:jc w:val="right"/>
              <w:rPr>
                <w:b/>
                <w:szCs w:val="24"/>
              </w:rPr>
            </w:pPr>
            <w:r>
              <w:rPr>
                <w:b/>
                <w:szCs w:val="24"/>
              </w:rPr>
              <w:t>3713.4</w:t>
            </w:r>
          </w:p>
        </w:tc>
        <w:tc>
          <w:tcPr>
            <w:tcW w:w="2095" w:type="dxa"/>
          </w:tcPr>
          <w:p w:rsidR="009A3AFE" w:rsidRPr="00CA707F" w:rsidRDefault="009A3AFE" w:rsidP="009A3AFE">
            <w:pPr>
              <w:spacing w:after="120"/>
              <w:jc w:val="right"/>
              <w:rPr>
                <w:b/>
                <w:szCs w:val="24"/>
              </w:rPr>
            </w:pPr>
            <w:r w:rsidRPr="00CA707F">
              <w:rPr>
                <w:b/>
                <w:szCs w:val="24"/>
              </w:rPr>
              <w:t>0</w:t>
            </w:r>
          </w:p>
        </w:tc>
        <w:tc>
          <w:tcPr>
            <w:tcW w:w="1449" w:type="dxa"/>
          </w:tcPr>
          <w:p w:rsidR="009A3AFE" w:rsidRPr="00CA707F" w:rsidRDefault="009A3AFE" w:rsidP="009A3AFE">
            <w:pPr>
              <w:spacing w:after="120"/>
              <w:jc w:val="right"/>
              <w:rPr>
                <w:b/>
                <w:szCs w:val="24"/>
              </w:rPr>
            </w:pPr>
            <w:r>
              <w:rPr>
                <w:b/>
                <w:szCs w:val="24"/>
              </w:rPr>
              <w:t>287.5</w:t>
            </w:r>
          </w:p>
        </w:tc>
        <w:tc>
          <w:tcPr>
            <w:tcW w:w="1417" w:type="dxa"/>
          </w:tcPr>
          <w:p w:rsidR="009A3AFE" w:rsidRPr="00CA707F" w:rsidRDefault="009A3AFE" w:rsidP="009A3AFE">
            <w:pPr>
              <w:spacing w:after="120"/>
              <w:jc w:val="right"/>
              <w:rPr>
                <w:b/>
                <w:szCs w:val="24"/>
              </w:rPr>
            </w:pPr>
            <w:r>
              <w:rPr>
                <w:b/>
                <w:szCs w:val="24"/>
              </w:rPr>
              <w:t>4000.9</w:t>
            </w:r>
          </w:p>
        </w:tc>
      </w:tr>
      <w:tr w:rsidR="009A3AFE" w:rsidTr="009A3A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7" w:type="dxa"/>
            <w:tcBorders>
              <w:top w:val="nil"/>
              <w:left w:val="nil"/>
              <w:bottom w:val="nil"/>
              <w:right w:val="nil"/>
            </w:tcBorders>
          </w:tcPr>
          <w:p w:rsidR="009A3AFE" w:rsidRPr="002903B7" w:rsidRDefault="009A3AFE" w:rsidP="009A3AFE">
            <w:pPr>
              <w:spacing w:after="120"/>
              <w:rPr>
                <w:b/>
                <w:szCs w:val="24"/>
              </w:rPr>
            </w:pPr>
            <w:r w:rsidRPr="002903B7">
              <w:rPr>
                <w:b/>
                <w:szCs w:val="24"/>
              </w:rPr>
              <w:t>Financial</w:t>
            </w:r>
            <w:r>
              <w:rPr>
                <w:b/>
                <w:szCs w:val="24"/>
              </w:rPr>
              <w:t xml:space="preserve"> Liabilities</w:t>
            </w:r>
          </w:p>
        </w:tc>
        <w:tc>
          <w:tcPr>
            <w:tcW w:w="1985" w:type="dxa"/>
            <w:tcBorders>
              <w:top w:val="nil"/>
              <w:left w:val="nil"/>
              <w:bottom w:val="nil"/>
              <w:right w:val="nil"/>
            </w:tcBorders>
          </w:tcPr>
          <w:p w:rsidR="009A3AFE" w:rsidRDefault="009A3AFE" w:rsidP="009A3AFE">
            <w:pPr>
              <w:spacing w:after="120"/>
              <w:jc w:val="right"/>
              <w:rPr>
                <w:szCs w:val="24"/>
              </w:rPr>
            </w:pPr>
          </w:p>
        </w:tc>
        <w:tc>
          <w:tcPr>
            <w:tcW w:w="2095" w:type="dxa"/>
            <w:tcBorders>
              <w:top w:val="nil"/>
              <w:left w:val="nil"/>
              <w:bottom w:val="nil"/>
              <w:right w:val="nil"/>
            </w:tcBorders>
          </w:tcPr>
          <w:p w:rsidR="009A3AFE" w:rsidRDefault="009A3AFE" w:rsidP="009A3AFE">
            <w:pPr>
              <w:spacing w:after="120"/>
              <w:jc w:val="right"/>
              <w:rPr>
                <w:szCs w:val="24"/>
              </w:rPr>
            </w:pPr>
          </w:p>
        </w:tc>
        <w:tc>
          <w:tcPr>
            <w:tcW w:w="1449" w:type="dxa"/>
            <w:tcBorders>
              <w:top w:val="nil"/>
              <w:left w:val="nil"/>
              <w:bottom w:val="nil"/>
              <w:right w:val="nil"/>
            </w:tcBorders>
          </w:tcPr>
          <w:p w:rsidR="009A3AFE" w:rsidRDefault="009A3AFE" w:rsidP="009A3AFE">
            <w:pPr>
              <w:spacing w:after="120"/>
              <w:jc w:val="right"/>
              <w:rPr>
                <w:szCs w:val="24"/>
              </w:rPr>
            </w:pPr>
          </w:p>
        </w:tc>
        <w:tc>
          <w:tcPr>
            <w:tcW w:w="1417" w:type="dxa"/>
            <w:tcBorders>
              <w:top w:val="nil"/>
              <w:left w:val="nil"/>
              <w:bottom w:val="nil"/>
              <w:right w:val="nil"/>
            </w:tcBorders>
          </w:tcPr>
          <w:p w:rsidR="009A3AFE" w:rsidRDefault="009A3AFE" w:rsidP="009A3AFE">
            <w:pPr>
              <w:spacing w:after="120"/>
              <w:jc w:val="right"/>
              <w:rPr>
                <w:szCs w:val="24"/>
              </w:rPr>
            </w:pPr>
          </w:p>
        </w:tc>
      </w:tr>
      <w:tr w:rsidR="009A3AFE" w:rsidRPr="00CA707F" w:rsidTr="009A3A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7" w:type="dxa"/>
            <w:tcBorders>
              <w:top w:val="nil"/>
              <w:left w:val="nil"/>
              <w:bottom w:val="nil"/>
              <w:right w:val="nil"/>
            </w:tcBorders>
          </w:tcPr>
          <w:p w:rsidR="009A3AFE" w:rsidRPr="00CA707F" w:rsidRDefault="009A3AFE" w:rsidP="009A3AFE">
            <w:pPr>
              <w:spacing w:after="120"/>
              <w:rPr>
                <w:szCs w:val="24"/>
              </w:rPr>
            </w:pPr>
            <w:r>
              <w:rPr>
                <w:szCs w:val="24"/>
              </w:rPr>
              <w:t>Financial liabilities at fair value through profit and loss</w:t>
            </w:r>
          </w:p>
        </w:tc>
        <w:tc>
          <w:tcPr>
            <w:tcW w:w="1985" w:type="dxa"/>
            <w:tcBorders>
              <w:top w:val="nil"/>
              <w:left w:val="nil"/>
              <w:bottom w:val="nil"/>
              <w:right w:val="nil"/>
            </w:tcBorders>
          </w:tcPr>
          <w:p w:rsidR="009A3AFE" w:rsidRPr="00CA707F" w:rsidRDefault="009A3AFE" w:rsidP="009A3AFE">
            <w:pPr>
              <w:spacing w:after="120"/>
              <w:jc w:val="right"/>
              <w:rPr>
                <w:szCs w:val="24"/>
              </w:rPr>
            </w:pPr>
            <w:r>
              <w:rPr>
                <w:szCs w:val="24"/>
              </w:rPr>
              <w:t>1.6</w:t>
            </w:r>
          </w:p>
        </w:tc>
        <w:tc>
          <w:tcPr>
            <w:tcW w:w="2095" w:type="dxa"/>
            <w:tcBorders>
              <w:top w:val="nil"/>
              <w:left w:val="nil"/>
              <w:bottom w:val="nil"/>
              <w:right w:val="nil"/>
            </w:tcBorders>
          </w:tcPr>
          <w:p w:rsidR="009A3AFE" w:rsidRPr="00CA707F" w:rsidRDefault="009A3AFE" w:rsidP="009A3AFE">
            <w:pPr>
              <w:spacing w:after="120"/>
              <w:jc w:val="right"/>
              <w:rPr>
                <w:szCs w:val="24"/>
              </w:rPr>
            </w:pPr>
            <w:r>
              <w:rPr>
                <w:szCs w:val="24"/>
              </w:rPr>
              <w:t>-</w:t>
            </w:r>
          </w:p>
        </w:tc>
        <w:tc>
          <w:tcPr>
            <w:tcW w:w="1449" w:type="dxa"/>
            <w:tcBorders>
              <w:top w:val="nil"/>
              <w:left w:val="nil"/>
              <w:bottom w:val="nil"/>
              <w:right w:val="nil"/>
            </w:tcBorders>
          </w:tcPr>
          <w:p w:rsidR="009A3AFE" w:rsidRPr="00CA707F" w:rsidRDefault="009A3AFE" w:rsidP="009A3AFE">
            <w:pPr>
              <w:spacing w:after="120"/>
              <w:jc w:val="right"/>
              <w:rPr>
                <w:szCs w:val="24"/>
              </w:rPr>
            </w:pPr>
            <w:r>
              <w:rPr>
                <w:szCs w:val="24"/>
              </w:rPr>
              <w:t>-</w:t>
            </w:r>
          </w:p>
        </w:tc>
        <w:tc>
          <w:tcPr>
            <w:tcW w:w="1417" w:type="dxa"/>
            <w:tcBorders>
              <w:top w:val="nil"/>
              <w:left w:val="nil"/>
              <w:bottom w:val="nil"/>
              <w:right w:val="nil"/>
            </w:tcBorders>
          </w:tcPr>
          <w:p w:rsidR="009A3AFE" w:rsidRPr="00CA707F" w:rsidRDefault="009A3AFE" w:rsidP="009A3AFE">
            <w:pPr>
              <w:spacing w:after="120"/>
              <w:jc w:val="right"/>
              <w:rPr>
                <w:szCs w:val="24"/>
              </w:rPr>
            </w:pPr>
            <w:r>
              <w:rPr>
                <w:szCs w:val="24"/>
              </w:rPr>
              <w:t>1.6</w:t>
            </w:r>
          </w:p>
        </w:tc>
      </w:tr>
      <w:tr w:rsidR="009A3AFE" w:rsidTr="009A3A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7" w:type="dxa"/>
            <w:tcBorders>
              <w:top w:val="nil"/>
              <w:left w:val="nil"/>
              <w:bottom w:val="nil"/>
              <w:right w:val="nil"/>
            </w:tcBorders>
          </w:tcPr>
          <w:p w:rsidR="009A3AFE" w:rsidRDefault="009A3AFE" w:rsidP="009A3AFE">
            <w:pPr>
              <w:spacing w:after="120"/>
              <w:rPr>
                <w:szCs w:val="24"/>
              </w:rPr>
            </w:pPr>
            <w:r>
              <w:rPr>
                <w:szCs w:val="24"/>
              </w:rPr>
              <w:t>Financial liabilities at amortised cost</w:t>
            </w:r>
          </w:p>
        </w:tc>
        <w:tc>
          <w:tcPr>
            <w:tcW w:w="1985" w:type="dxa"/>
            <w:tcBorders>
              <w:top w:val="nil"/>
              <w:left w:val="nil"/>
              <w:bottom w:val="nil"/>
              <w:right w:val="nil"/>
            </w:tcBorders>
          </w:tcPr>
          <w:p w:rsidR="009A3AFE" w:rsidRPr="00CA707F" w:rsidRDefault="009A3AFE" w:rsidP="009A3AFE">
            <w:pPr>
              <w:spacing w:after="120"/>
              <w:jc w:val="right"/>
              <w:rPr>
                <w:szCs w:val="24"/>
              </w:rPr>
            </w:pPr>
            <w:r>
              <w:rPr>
                <w:szCs w:val="24"/>
              </w:rPr>
              <w:t>3.2</w:t>
            </w:r>
          </w:p>
        </w:tc>
        <w:tc>
          <w:tcPr>
            <w:tcW w:w="2095" w:type="dxa"/>
            <w:tcBorders>
              <w:top w:val="nil"/>
              <w:left w:val="nil"/>
              <w:bottom w:val="nil"/>
              <w:right w:val="nil"/>
            </w:tcBorders>
          </w:tcPr>
          <w:p w:rsidR="009A3AFE" w:rsidRPr="00CA707F" w:rsidRDefault="009A3AFE" w:rsidP="009A3AFE">
            <w:pPr>
              <w:spacing w:after="120"/>
              <w:jc w:val="right"/>
              <w:rPr>
                <w:szCs w:val="24"/>
              </w:rPr>
            </w:pPr>
            <w:r>
              <w:rPr>
                <w:szCs w:val="24"/>
              </w:rPr>
              <w:t>-</w:t>
            </w:r>
          </w:p>
        </w:tc>
        <w:tc>
          <w:tcPr>
            <w:tcW w:w="1449" w:type="dxa"/>
            <w:tcBorders>
              <w:top w:val="nil"/>
              <w:left w:val="nil"/>
              <w:bottom w:val="nil"/>
              <w:right w:val="nil"/>
            </w:tcBorders>
          </w:tcPr>
          <w:p w:rsidR="009A3AFE" w:rsidRPr="00CA707F" w:rsidRDefault="009A3AFE" w:rsidP="009A3AFE">
            <w:pPr>
              <w:spacing w:after="120"/>
              <w:jc w:val="right"/>
              <w:rPr>
                <w:szCs w:val="24"/>
              </w:rPr>
            </w:pPr>
            <w:r>
              <w:rPr>
                <w:szCs w:val="24"/>
              </w:rPr>
              <w:t>-</w:t>
            </w:r>
          </w:p>
        </w:tc>
        <w:tc>
          <w:tcPr>
            <w:tcW w:w="1417" w:type="dxa"/>
            <w:tcBorders>
              <w:top w:val="nil"/>
              <w:left w:val="nil"/>
              <w:bottom w:val="nil"/>
              <w:right w:val="nil"/>
            </w:tcBorders>
          </w:tcPr>
          <w:p w:rsidR="009A3AFE" w:rsidRDefault="009A3AFE" w:rsidP="009A3AFE">
            <w:pPr>
              <w:spacing w:after="120"/>
              <w:jc w:val="right"/>
              <w:rPr>
                <w:szCs w:val="24"/>
              </w:rPr>
            </w:pPr>
            <w:r>
              <w:rPr>
                <w:szCs w:val="24"/>
              </w:rPr>
              <w:t>3.2</w:t>
            </w:r>
          </w:p>
        </w:tc>
      </w:tr>
      <w:tr w:rsidR="009A3AFE" w:rsidRPr="00CA707F" w:rsidTr="009A3A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7" w:type="dxa"/>
            <w:tcBorders>
              <w:top w:val="nil"/>
              <w:left w:val="nil"/>
              <w:bottom w:val="nil"/>
              <w:right w:val="nil"/>
            </w:tcBorders>
          </w:tcPr>
          <w:p w:rsidR="009A3AFE" w:rsidRPr="00CA707F" w:rsidRDefault="009A3AFE" w:rsidP="009A3AFE">
            <w:pPr>
              <w:spacing w:after="120"/>
              <w:rPr>
                <w:b/>
                <w:szCs w:val="24"/>
              </w:rPr>
            </w:pPr>
            <w:r w:rsidRPr="00CA707F">
              <w:rPr>
                <w:b/>
                <w:szCs w:val="24"/>
              </w:rPr>
              <w:t>Total Financial assets</w:t>
            </w:r>
          </w:p>
        </w:tc>
        <w:tc>
          <w:tcPr>
            <w:tcW w:w="1985" w:type="dxa"/>
            <w:tcBorders>
              <w:top w:val="nil"/>
              <w:left w:val="nil"/>
              <w:bottom w:val="nil"/>
              <w:right w:val="nil"/>
            </w:tcBorders>
          </w:tcPr>
          <w:p w:rsidR="009A3AFE" w:rsidRPr="00CA707F" w:rsidRDefault="009A3AFE" w:rsidP="009A3AFE">
            <w:pPr>
              <w:spacing w:after="120"/>
              <w:jc w:val="right"/>
              <w:rPr>
                <w:b/>
                <w:szCs w:val="24"/>
              </w:rPr>
            </w:pPr>
            <w:r>
              <w:rPr>
                <w:b/>
                <w:szCs w:val="24"/>
              </w:rPr>
              <w:t>4.8</w:t>
            </w:r>
          </w:p>
        </w:tc>
        <w:tc>
          <w:tcPr>
            <w:tcW w:w="2095" w:type="dxa"/>
            <w:tcBorders>
              <w:top w:val="nil"/>
              <w:left w:val="nil"/>
              <w:bottom w:val="nil"/>
              <w:right w:val="nil"/>
            </w:tcBorders>
          </w:tcPr>
          <w:p w:rsidR="009A3AFE" w:rsidRPr="00CA707F" w:rsidRDefault="009A3AFE" w:rsidP="009A3AFE">
            <w:pPr>
              <w:spacing w:after="120"/>
              <w:jc w:val="right"/>
              <w:rPr>
                <w:b/>
                <w:szCs w:val="24"/>
              </w:rPr>
            </w:pPr>
            <w:r w:rsidRPr="00CA707F">
              <w:rPr>
                <w:b/>
                <w:szCs w:val="24"/>
              </w:rPr>
              <w:t>0</w:t>
            </w:r>
          </w:p>
        </w:tc>
        <w:tc>
          <w:tcPr>
            <w:tcW w:w="1449" w:type="dxa"/>
            <w:tcBorders>
              <w:top w:val="nil"/>
              <w:left w:val="nil"/>
              <w:bottom w:val="nil"/>
              <w:right w:val="nil"/>
            </w:tcBorders>
          </w:tcPr>
          <w:p w:rsidR="009A3AFE" w:rsidRPr="00CA707F" w:rsidRDefault="009A3AFE" w:rsidP="009A3AFE">
            <w:pPr>
              <w:spacing w:after="120"/>
              <w:jc w:val="right"/>
              <w:rPr>
                <w:b/>
                <w:szCs w:val="24"/>
              </w:rPr>
            </w:pPr>
            <w:r w:rsidRPr="00CA707F">
              <w:rPr>
                <w:b/>
                <w:szCs w:val="24"/>
              </w:rPr>
              <w:t>0</w:t>
            </w:r>
          </w:p>
        </w:tc>
        <w:tc>
          <w:tcPr>
            <w:tcW w:w="1417" w:type="dxa"/>
            <w:tcBorders>
              <w:top w:val="nil"/>
              <w:left w:val="nil"/>
              <w:bottom w:val="nil"/>
              <w:right w:val="nil"/>
            </w:tcBorders>
          </w:tcPr>
          <w:p w:rsidR="009A3AFE" w:rsidRPr="00CA707F" w:rsidRDefault="009A3AFE" w:rsidP="009A3AFE">
            <w:pPr>
              <w:spacing w:after="120"/>
              <w:jc w:val="right"/>
              <w:rPr>
                <w:b/>
                <w:szCs w:val="24"/>
              </w:rPr>
            </w:pPr>
            <w:r>
              <w:rPr>
                <w:b/>
                <w:szCs w:val="24"/>
              </w:rPr>
              <w:t>4.8</w:t>
            </w:r>
          </w:p>
        </w:tc>
      </w:tr>
    </w:tbl>
    <w:p w:rsidR="009A3AFE" w:rsidRPr="00CA707F" w:rsidRDefault="009A3AFE" w:rsidP="009A3AFE">
      <w:pPr>
        <w:ind w:left="720"/>
        <w:rPr>
          <w:b/>
          <w:szCs w:val="24"/>
        </w:rPr>
      </w:pPr>
    </w:p>
    <w:tbl>
      <w:tblPr>
        <w:tblStyle w:val="TableGrid"/>
        <w:tblW w:w="1030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57"/>
        <w:gridCol w:w="1985"/>
        <w:gridCol w:w="2095"/>
        <w:gridCol w:w="1449"/>
        <w:gridCol w:w="1417"/>
      </w:tblGrid>
      <w:tr w:rsidR="009A3AFE" w:rsidRPr="00FB0F1F" w:rsidTr="009A3AFE">
        <w:tc>
          <w:tcPr>
            <w:tcW w:w="3357" w:type="dxa"/>
          </w:tcPr>
          <w:p w:rsidR="009A3AFE" w:rsidRPr="00FB0F1F" w:rsidRDefault="009A3AFE" w:rsidP="009A3AFE">
            <w:pPr>
              <w:jc w:val="center"/>
              <w:rPr>
                <w:b/>
                <w:szCs w:val="24"/>
              </w:rPr>
            </w:pPr>
            <w:r>
              <w:rPr>
                <w:b/>
                <w:szCs w:val="24"/>
              </w:rPr>
              <w:t>2011</w:t>
            </w:r>
          </w:p>
        </w:tc>
        <w:tc>
          <w:tcPr>
            <w:tcW w:w="1985" w:type="dxa"/>
          </w:tcPr>
          <w:p w:rsidR="009A3AFE" w:rsidRPr="00FB0F1F" w:rsidRDefault="009A3AFE" w:rsidP="009A3AFE">
            <w:pPr>
              <w:jc w:val="right"/>
              <w:rPr>
                <w:b/>
                <w:szCs w:val="24"/>
              </w:rPr>
            </w:pPr>
            <w:r>
              <w:rPr>
                <w:b/>
                <w:szCs w:val="24"/>
              </w:rPr>
              <w:t>Level 1</w:t>
            </w:r>
          </w:p>
        </w:tc>
        <w:tc>
          <w:tcPr>
            <w:tcW w:w="2095" w:type="dxa"/>
          </w:tcPr>
          <w:p w:rsidR="009A3AFE" w:rsidRPr="00FB0F1F" w:rsidRDefault="009A3AFE" w:rsidP="009A3AFE">
            <w:pPr>
              <w:jc w:val="right"/>
              <w:rPr>
                <w:b/>
                <w:szCs w:val="24"/>
              </w:rPr>
            </w:pPr>
            <w:r>
              <w:rPr>
                <w:b/>
                <w:szCs w:val="24"/>
              </w:rPr>
              <w:t>Level 2</w:t>
            </w:r>
          </w:p>
        </w:tc>
        <w:tc>
          <w:tcPr>
            <w:tcW w:w="1449" w:type="dxa"/>
          </w:tcPr>
          <w:p w:rsidR="009A3AFE" w:rsidRPr="00FB0F1F" w:rsidRDefault="009A3AFE" w:rsidP="009A3AFE">
            <w:pPr>
              <w:jc w:val="right"/>
              <w:rPr>
                <w:b/>
                <w:szCs w:val="24"/>
              </w:rPr>
            </w:pPr>
            <w:r>
              <w:rPr>
                <w:b/>
                <w:szCs w:val="24"/>
              </w:rPr>
              <w:t>Level 3</w:t>
            </w:r>
          </w:p>
        </w:tc>
        <w:tc>
          <w:tcPr>
            <w:tcW w:w="1417" w:type="dxa"/>
          </w:tcPr>
          <w:p w:rsidR="009A3AFE" w:rsidRPr="00FB0F1F" w:rsidRDefault="009A3AFE" w:rsidP="009A3AFE">
            <w:pPr>
              <w:jc w:val="right"/>
              <w:rPr>
                <w:b/>
                <w:szCs w:val="24"/>
              </w:rPr>
            </w:pPr>
            <w:r>
              <w:rPr>
                <w:b/>
                <w:szCs w:val="24"/>
              </w:rPr>
              <w:t>Total</w:t>
            </w:r>
          </w:p>
        </w:tc>
      </w:tr>
      <w:tr w:rsidR="009A3AFE" w:rsidRPr="00FB0F1F" w:rsidTr="009A3AFE">
        <w:tc>
          <w:tcPr>
            <w:tcW w:w="3357" w:type="dxa"/>
          </w:tcPr>
          <w:p w:rsidR="009A3AFE" w:rsidRPr="00FB0F1F" w:rsidRDefault="009A3AFE" w:rsidP="009A3AFE">
            <w:pPr>
              <w:rPr>
                <w:b/>
                <w:szCs w:val="24"/>
              </w:rPr>
            </w:pPr>
          </w:p>
        </w:tc>
        <w:tc>
          <w:tcPr>
            <w:tcW w:w="1985" w:type="dxa"/>
          </w:tcPr>
          <w:p w:rsidR="009A3AFE" w:rsidRPr="00FB0F1F" w:rsidRDefault="009A3AFE" w:rsidP="009A3AFE">
            <w:pPr>
              <w:jc w:val="right"/>
              <w:rPr>
                <w:b/>
                <w:szCs w:val="24"/>
              </w:rPr>
            </w:pPr>
            <w:r>
              <w:rPr>
                <w:b/>
                <w:szCs w:val="24"/>
              </w:rPr>
              <w:t>£m</w:t>
            </w:r>
          </w:p>
        </w:tc>
        <w:tc>
          <w:tcPr>
            <w:tcW w:w="2095" w:type="dxa"/>
          </w:tcPr>
          <w:p w:rsidR="009A3AFE" w:rsidRPr="00FB0F1F" w:rsidRDefault="009A3AFE" w:rsidP="009A3AFE">
            <w:pPr>
              <w:jc w:val="right"/>
              <w:rPr>
                <w:b/>
                <w:szCs w:val="24"/>
              </w:rPr>
            </w:pPr>
            <w:r>
              <w:rPr>
                <w:b/>
                <w:szCs w:val="24"/>
              </w:rPr>
              <w:t>£m</w:t>
            </w:r>
          </w:p>
        </w:tc>
        <w:tc>
          <w:tcPr>
            <w:tcW w:w="1449" w:type="dxa"/>
          </w:tcPr>
          <w:p w:rsidR="009A3AFE" w:rsidRPr="00FB0F1F" w:rsidRDefault="009A3AFE" w:rsidP="009A3AFE">
            <w:pPr>
              <w:jc w:val="right"/>
              <w:rPr>
                <w:b/>
                <w:szCs w:val="24"/>
              </w:rPr>
            </w:pPr>
            <w:r>
              <w:rPr>
                <w:b/>
                <w:szCs w:val="24"/>
              </w:rPr>
              <w:t>£m</w:t>
            </w:r>
          </w:p>
        </w:tc>
        <w:tc>
          <w:tcPr>
            <w:tcW w:w="1417" w:type="dxa"/>
          </w:tcPr>
          <w:p w:rsidR="009A3AFE" w:rsidRPr="00FB0F1F" w:rsidRDefault="009A3AFE" w:rsidP="009A3AFE">
            <w:pPr>
              <w:jc w:val="right"/>
              <w:rPr>
                <w:b/>
                <w:szCs w:val="24"/>
              </w:rPr>
            </w:pPr>
            <w:r>
              <w:rPr>
                <w:b/>
                <w:szCs w:val="24"/>
              </w:rPr>
              <w:t>£m</w:t>
            </w:r>
          </w:p>
        </w:tc>
      </w:tr>
      <w:tr w:rsidR="009A3AFE" w:rsidTr="009A3AFE">
        <w:tc>
          <w:tcPr>
            <w:tcW w:w="3357" w:type="dxa"/>
          </w:tcPr>
          <w:p w:rsidR="009A3AFE" w:rsidRPr="002903B7" w:rsidRDefault="009A3AFE" w:rsidP="009A3AFE">
            <w:pPr>
              <w:spacing w:after="120"/>
              <w:rPr>
                <w:b/>
                <w:szCs w:val="24"/>
              </w:rPr>
            </w:pPr>
            <w:r w:rsidRPr="002903B7">
              <w:rPr>
                <w:b/>
                <w:szCs w:val="24"/>
              </w:rPr>
              <w:t>Financial assets</w:t>
            </w:r>
          </w:p>
        </w:tc>
        <w:tc>
          <w:tcPr>
            <w:tcW w:w="1985" w:type="dxa"/>
          </w:tcPr>
          <w:p w:rsidR="009A3AFE" w:rsidRDefault="009A3AFE" w:rsidP="009A3AFE">
            <w:pPr>
              <w:spacing w:after="120"/>
              <w:jc w:val="right"/>
              <w:rPr>
                <w:szCs w:val="24"/>
              </w:rPr>
            </w:pPr>
          </w:p>
        </w:tc>
        <w:tc>
          <w:tcPr>
            <w:tcW w:w="2095" w:type="dxa"/>
          </w:tcPr>
          <w:p w:rsidR="009A3AFE" w:rsidRDefault="009A3AFE" w:rsidP="009A3AFE">
            <w:pPr>
              <w:spacing w:after="120"/>
              <w:jc w:val="right"/>
              <w:rPr>
                <w:szCs w:val="24"/>
              </w:rPr>
            </w:pPr>
          </w:p>
        </w:tc>
        <w:tc>
          <w:tcPr>
            <w:tcW w:w="1449" w:type="dxa"/>
          </w:tcPr>
          <w:p w:rsidR="009A3AFE" w:rsidRDefault="009A3AFE" w:rsidP="009A3AFE">
            <w:pPr>
              <w:spacing w:after="120"/>
              <w:jc w:val="right"/>
              <w:rPr>
                <w:szCs w:val="24"/>
              </w:rPr>
            </w:pPr>
          </w:p>
        </w:tc>
        <w:tc>
          <w:tcPr>
            <w:tcW w:w="1417" w:type="dxa"/>
          </w:tcPr>
          <w:p w:rsidR="009A3AFE" w:rsidRDefault="009A3AFE" w:rsidP="009A3AFE">
            <w:pPr>
              <w:spacing w:after="120"/>
              <w:jc w:val="right"/>
              <w:rPr>
                <w:szCs w:val="24"/>
              </w:rPr>
            </w:pPr>
          </w:p>
        </w:tc>
      </w:tr>
      <w:tr w:rsidR="009A3AFE" w:rsidRPr="00CA707F" w:rsidTr="009A3AFE">
        <w:tc>
          <w:tcPr>
            <w:tcW w:w="3357" w:type="dxa"/>
          </w:tcPr>
          <w:p w:rsidR="009A3AFE" w:rsidRPr="00CA707F" w:rsidRDefault="009A3AFE" w:rsidP="009A3AFE">
            <w:pPr>
              <w:spacing w:after="120"/>
              <w:rPr>
                <w:szCs w:val="24"/>
              </w:rPr>
            </w:pPr>
            <w:r>
              <w:rPr>
                <w:szCs w:val="24"/>
              </w:rPr>
              <w:t>Financial assets at fair value through profit and loss</w:t>
            </w:r>
          </w:p>
        </w:tc>
        <w:tc>
          <w:tcPr>
            <w:tcW w:w="1985" w:type="dxa"/>
          </w:tcPr>
          <w:p w:rsidR="009A3AFE" w:rsidRPr="00CA707F" w:rsidRDefault="009A3AFE" w:rsidP="009A3AFE">
            <w:pPr>
              <w:spacing w:after="120"/>
              <w:jc w:val="right"/>
              <w:rPr>
                <w:szCs w:val="24"/>
              </w:rPr>
            </w:pPr>
            <w:r>
              <w:rPr>
                <w:szCs w:val="24"/>
              </w:rPr>
              <w:t>3,576.6</w:t>
            </w:r>
          </w:p>
        </w:tc>
        <w:tc>
          <w:tcPr>
            <w:tcW w:w="2095" w:type="dxa"/>
          </w:tcPr>
          <w:p w:rsidR="009A3AFE" w:rsidRPr="00CA707F" w:rsidRDefault="009A3AFE" w:rsidP="009A3AFE">
            <w:pPr>
              <w:spacing w:after="120"/>
              <w:jc w:val="right"/>
              <w:rPr>
                <w:szCs w:val="24"/>
              </w:rPr>
            </w:pPr>
            <w:r>
              <w:rPr>
                <w:szCs w:val="24"/>
              </w:rPr>
              <w:t>-</w:t>
            </w:r>
          </w:p>
        </w:tc>
        <w:tc>
          <w:tcPr>
            <w:tcW w:w="1449" w:type="dxa"/>
          </w:tcPr>
          <w:p w:rsidR="009A3AFE" w:rsidRPr="00CA707F" w:rsidRDefault="009A3AFE" w:rsidP="009A3AFE">
            <w:pPr>
              <w:spacing w:after="120"/>
              <w:jc w:val="right"/>
              <w:rPr>
                <w:szCs w:val="24"/>
              </w:rPr>
            </w:pPr>
            <w:r>
              <w:rPr>
                <w:szCs w:val="24"/>
              </w:rPr>
              <w:t>271.4</w:t>
            </w:r>
          </w:p>
        </w:tc>
        <w:tc>
          <w:tcPr>
            <w:tcW w:w="1417" w:type="dxa"/>
          </w:tcPr>
          <w:p w:rsidR="009A3AFE" w:rsidRPr="00CA707F" w:rsidRDefault="009A3AFE" w:rsidP="009A3AFE">
            <w:pPr>
              <w:spacing w:after="120"/>
              <w:jc w:val="right"/>
              <w:rPr>
                <w:szCs w:val="24"/>
              </w:rPr>
            </w:pPr>
            <w:r>
              <w:rPr>
                <w:szCs w:val="24"/>
              </w:rPr>
              <w:t>3,848.0</w:t>
            </w:r>
          </w:p>
        </w:tc>
      </w:tr>
      <w:tr w:rsidR="009A3AFE" w:rsidRPr="00CA707F" w:rsidTr="009A3AFE">
        <w:tc>
          <w:tcPr>
            <w:tcW w:w="3357" w:type="dxa"/>
          </w:tcPr>
          <w:p w:rsidR="009A3AFE" w:rsidRDefault="009A3AFE" w:rsidP="009A3AFE">
            <w:pPr>
              <w:spacing w:after="120"/>
              <w:rPr>
                <w:szCs w:val="24"/>
              </w:rPr>
            </w:pPr>
            <w:r>
              <w:rPr>
                <w:szCs w:val="24"/>
              </w:rPr>
              <w:t>Loans and Receivables</w:t>
            </w:r>
          </w:p>
        </w:tc>
        <w:tc>
          <w:tcPr>
            <w:tcW w:w="1985" w:type="dxa"/>
          </w:tcPr>
          <w:p w:rsidR="009A3AFE" w:rsidRPr="00CA707F" w:rsidRDefault="009A3AFE" w:rsidP="009A3AFE">
            <w:pPr>
              <w:spacing w:after="120"/>
              <w:jc w:val="right"/>
              <w:rPr>
                <w:szCs w:val="24"/>
              </w:rPr>
            </w:pPr>
            <w:r>
              <w:rPr>
                <w:szCs w:val="24"/>
              </w:rPr>
              <w:t>58.2</w:t>
            </w:r>
          </w:p>
        </w:tc>
        <w:tc>
          <w:tcPr>
            <w:tcW w:w="2095" w:type="dxa"/>
          </w:tcPr>
          <w:p w:rsidR="009A3AFE" w:rsidRPr="00CA707F" w:rsidRDefault="009A3AFE" w:rsidP="009A3AFE">
            <w:pPr>
              <w:spacing w:after="120"/>
              <w:jc w:val="right"/>
              <w:rPr>
                <w:szCs w:val="24"/>
              </w:rPr>
            </w:pPr>
            <w:r>
              <w:rPr>
                <w:szCs w:val="24"/>
              </w:rPr>
              <w:t>-</w:t>
            </w:r>
          </w:p>
        </w:tc>
        <w:tc>
          <w:tcPr>
            <w:tcW w:w="1449" w:type="dxa"/>
          </w:tcPr>
          <w:p w:rsidR="009A3AFE" w:rsidRPr="00CA707F" w:rsidRDefault="009A3AFE" w:rsidP="009A3AFE">
            <w:pPr>
              <w:spacing w:after="120"/>
              <w:jc w:val="right"/>
              <w:rPr>
                <w:szCs w:val="24"/>
              </w:rPr>
            </w:pPr>
            <w:r>
              <w:rPr>
                <w:szCs w:val="24"/>
              </w:rPr>
              <w:t>-</w:t>
            </w:r>
          </w:p>
        </w:tc>
        <w:tc>
          <w:tcPr>
            <w:tcW w:w="1417" w:type="dxa"/>
          </w:tcPr>
          <w:p w:rsidR="009A3AFE" w:rsidRDefault="009A3AFE" w:rsidP="009A3AFE">
            <w:pPr>
              <w:spacing w:after="120"/>
              <w:jc w:val="right"/>
              <w:rPr>
                <w:szCs w:val="24"/>
              </w:rPr>
            </w:pPr>
            <w:r>
              <w:rPr>
                <w:szCs w:val="24"/>
              </w:rPr>
              <w:t>58.2</w:t>
            </w:r>
          </w:p>
        </w:tc>
      </w:tr>
      <w:tr w:rsidR="009A3AFE" w:rsidRPr="00CA707F" w:rsidTr="009A3AFE">
        <w:tc>
          <w:tcPr>
            <w:tcW w:w="3357" w:type="dxa"/>
          </w:tcPr>
          <w:p w:rsidR="009A3AFE" w:rsidRPr="00CA707F" w:rsidRDefault="009A3AFE" w:rsidP="009A3AFE">
            <w:pPr>
              <w:spacing w:after="360"/>
              <w:rPr>
                <w:b/>
                <w:szCs w:val="24"/>
              </w:rPr>
            </w:pPr>
            <w:r w:rsidRPr="00CA707F">
              <w:rPr>
                <w:b/>
                <w:szCs w:val="24"/>
              </w:rPr>
              <w:t>Total Financial assets</w:t>
            </w:r>
          </w:p>
        </w:tc>
        <w:tc>
          <w:tcPr>
            <w:tcW w:w="1985" w:type="dxa"/>
          </w:tcPr>
          <w:p w:rsidR="009A3AFE" w:rsidRPr="00CA707F" w:rsidRDefault="009A3AFE" w:rsidP="009A3AFE">
            <w:pPr>
              <w:spacing w:after="120"/>
              <w:jc w:val="right"/>
              <w:rPr>
                <w:b/>
                <w:szCs w:val="24"/>
              </w:rPr>
            </w:pPr>
            <w:r>
              <w:rPr>
                <w:b/>
                <w:szCs w:val="24"/>
              </w:rPr>
              <w:t>3,634.8</w:t>
            </w:r>
          </w:p>
        </w:tc>
        <w:tc>
          <w:tcPr>
            <w:tcW w:w="2095" w:type="dxa"/>
          </w:tcPr>
          <w:p w:rsidR="009A3AFE" w:rsidRPr="00CA707F" w:rsidRDefault="009A3AFE" w:rsidP="009A3AFE">
            <w:pPr>
              <w:spacing w:after="120"/>
              <w:jc w:val="right"/>
              <w:rPr>
                <w:b/>
                <w:szCs w:val="24"/>
              </w:rPr>
            </w:pPr>
            <w:r w:rsidRPr="00CA707F">
              <w:rPr>
                <w:b/>
                <w:szCs w:val="24"/>
              </w:rPr>
              <w:t>0</w:t>
            </w:r>
          </w:p>
        </w:tc>
        <w:tc>
          <w:tcPr>
            <w:tcW w:w="1449" w:type="dxa"/>
          </w:tcPr>
          <w:p w:rsidR="009A3AFE" w:rsidRPr="00CA707F" w:rsidRDefault="009A3AFE" w:rsidP="009A3AFE">
            <w:pPr>
              <w:spacing w:after="120"/>
              <w:jc w:val="right"/>
              <w:rPr>
                <w:b/>
                <w:szCs w:val="24"/>
              </w:rPr>
            </w:pPr>
            <w:r>
              <w:rPr>
                <w:b/>
                <w:szCs w:val="24"/>
              </w:rPr>
              <w:t>271.4</w:t>
            </w:r>
          </w:p>
        </w:tc>
        <w:tc>
          <w:tcPr>
            <w:tcW w:w="1417" w:type="dxa"/>
          </w:tcPr>
          <w:p w:rsidR="009A3AFE" w:rsidRPr="00CA707F" w:rsidRDefault="009A3AFE" w:rsidP="009A3AFE">
            <w:pPr>
              <w:spacing w:after="120"/>
              <w:jc w:val="right"/>
              <w:rPr>
                <w:b/>
                <w:szCs w:val="24"/>
              </w:rPr>
            </w:pPr>
            <w:r>
              <w:rPr>
                <w:b/>
                <w:szCs w:val="24"/>
              </w:rPr>
              <w:t>3,906.2</w:t>
            </w:r>
          </w:p>
        </w:tc>
      </w:tr>
      <w:tr w:rsidR="009A3AFE" w:rsidTr="009A3A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7" w:type="dxa"/>
            <w:tcBorders>
              <w:top w:val="nil"/>
              <w:left w:val="nil"/>
              <w:bottom w:val="nil"/>
              <w:right w:val="nil"/>
            </w:tcBorders>
          </w:tcPr>
          <w:p w:rsidR="009A3AFE" w:rsidRPr="002903B7" w:rsidRDefault="009A3AFE" w:rsidP="009A3AFE">
            <w:pPr>
              <w:spacing w:after="120"/>
              <w:rPr>
                <w:b/>
                <w:szCs w:val="24"/>
              </w:rPr>
            </w:pPr>
            <w:r w:rsidRPr="002903B7">
              <w:rPr>
                <w:b/>
                <w:szCs w:val="24"/>
              </w:rPr>
              <w:t>Financial</w:t>
            </w:r>
            <w:r>
              <w:rPr>
                <w:b/>
                <w:szCs w:val="24"/>
              </w:rPr>
              <w:t xml:space="preserve"> Liabilities</w:t>
            </w:r>
          </w:p>
        </w:tc>
        <w:tc>
          <w:tcPr>
            <w:tcW w:w="1985" w:type="dxa"/>
            <w:tcBorders>
              <w:top w:val="nil"/>
              <w:left w:val="nil"/>
              <w:bottom w:val="nil"/>
              <w:right w:val="nil"/>
            </w:tcBorders>
          </w:tcPr>
          <w:p w:rsidR="009A3AFE" w:rsidRDefault="009A3AFE" w:rsidP="009A3AFE">
            <w:pPr>
              <w:spacing w:after="120"/>
              <w:jc w:val="right"/>
              <w:rPr>
                <w:szCs w:val="24"/>
              </w:rPr>
            </w:pPr>
          </w:p>
        </w:tc>
        <w:tc>
          <w:tcPr>
            <w:tcW w:w="2095" w:type="dxa"/>
            <w:tcBorders>
              <w:top w:val="nil"/>
              <w:left w:val="nil"/>
              <w:bottom w:val="nil"/>
              <w:right w:val="nil"/>
            </w:tcBorders>
          </w:tcPr>
          <w:p w:rsidR="009A3AFE" w:rsidRDefault="009A3AFE" w:rsidP="009A3AFE">
            <w:pPr>
              <w:spacing w:after="120"/>
              <w:jc w:val="right"/>
              <w:rPr>
                <w:szCs w:val="24"/>
              </w:rPr>
            </w:pPr>
          </w:p>
        </w:tc>
        <w:tc>
          <w:tcPr>
            <w:tcW w:w="1449" w:type="dxa"/>
            <w:tcBorders>
              <w:top w:val="nil"/>
              <w:left w:val="nil"/>
              <w:bottom w:val="nil"/>
              <w:right w:val="nil"/>
            </w:tcBorders>
          </w:tcPr>
          <w:p w:rsidR="009A3AFE" w:rsidRDefault="009A3AFE" w:rsidP="009A3AFE">
            <w:pPr>
              <w:spacing w:after="120"/>
              <w:jc w:val="right"/>
              <w:rPr>
                <w:szCs w:val="24"/>
              </w:rPr>
            </w:pPr>
          </w:p>
        </w:tc>
        <w:tc>
          <w:tcPr>
            <w:tcW w:w="1417" w:type="dxa"/>
            <w:tcBorders>
              <w:top w:val="nil"/>
              <w:left w:val="nil"/>
              <w:bottom w:val="nil"/>
              <w:right w:val="nil"/>
            </w:tcBorders>
          </w:tcPr>
          <w:p w:rsidR="009A3AFE" w:rsidRDefault="009A3AFE" w:rsidP="009A3AFE">
            <w:pPr>
              <w:spacing w:after="120"/>
              <w:jc w:val="right"/>
              <w:rPr>
                <w:szCs w:val="24"/>
              </w:rPr>
            </w:pPr>
          </w:p>
        </w:tc>
      </w:tr>
      <w:tr w:rsidR="009A3AFE" w:rsidRPr="00CA707F" w:rsidTr="009A3A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7" w:type="dxa"/>
            <w:tcBorders>
              <w:top w:val="nil"/>
              <w:left w:val="nil"/>
              <w:bottom w:val="nil"/>
              <w:right w:val="nil"/>
            </w:tcBorders>
          </w:tcPr>
          <w:p w:rsidR="009A3AFE" w:rsidRPr="00CA707F" w:rsidRDefault="009A3AFE" w:rsidP="009A3AFE">
            <w:pPr>
              <w:spacing w:after="120"/>
              <w:rPr>
                <w:szCs w:val="24"/>
              </w:rPr>
            </w:pPr>
            <w:r>
              <w:rPr>
                <w:szCs w:val="24"/>
              </w:rPr>
              <w:t>Financial liabilities at fair value through profit and loss</w:t>
            </w:r>
          </w:p>
        </w:tc>
        <w:tc>
          <w:tcPr>
            <w:tcW w:w="1985" w:type="dxa"/>
            <w:tcBorders>
              <w:top w:val="nil"/>
              <w:left w:val="nil"/>
              <w:bottom w:val="nil"/>
              <w:right w:val="nil"/>
            </w:tcBorders>
          </w:tcPr>
          <w:p w:rsidR="009A3AFE" w:rsidRPr="00CA707F" w:rsidRDefault="009A3AFE" w:rsidP="009A3AFE">
            <w:pPr>
              <w:spacing w:after="120"/>
              <w:jc w:val="right"/>
              <w:rPr>
                <w:szCs w:val="24"/>
              </w:rPr>
            </w:pPr>
            <w:r>
              <w:rPr>
                <w:szCs w:val="24"/>
              </w:rPr>
              <w:t>0.9</w:t>
            </w:r>
          </w:p>
        </w:tc>
        <w:tc>
          <w:tcPr>
            <w:tcW w:w="2095" w:type="dxa"/>
            <w:tcBorders>
              <w:top w:val="nil"/>
              <w:left w:val="nil"/>
              <w:bottom w:val="nil"/>
              <w:right w:val="nil"/>
            </w:tcBorders>
          </w:tcPr>
          <w:p w:rsidR="009A3AFE" w:rsidRPr="00CA707F" w:rsidRDefault="009A3AFE" w:rsidP="009A3AFE">
            <w:pPr>
              <w:spacing w:after="120"/>
              <w:jc w:val="right"/>
              <w:rPr>
                <w:szCs w:val="24"/>
              </w:rPr>
            </w:pPr>
            <w:r>
              <w:rPr>
                <w:szCs w:val="24"/>
              </w:rPr>
              <w:t>-</w:t>
            </w:r>
          </w:p>
        </w:tc>
        <w:tc>
          <w:tcPr>
            <w:tcW w:w="1449" w:type="dxa"/>
            <w:tcBorders>
              <w:top w:val="nil"/>
              <w:left w:val="nil"/>
              <w:bottom w:val="nil"/>
              <w:right w:val="nil"/>
            </w:tcBorders>
          </w:tcPr>
          <w:p w:rsidR="009A3AFE" w:rsidRPr="00CA707F" w:rsidRDefault="009A3AFE" w:rsidP="009A3AFE">
            <w:pPr>
              <w:spacing w:after="120"/>
              <w:jc w:val="right"/>
              <w:rPr>
                <w:szCs w:val="24"/>
              </w:rPr>
            </w:pPr>
            <w:r>
              <w:rPr>
                <w:szCs w:val="24"/>
              </w:rPr>
              <w:t>-</w:t>
            </w:r>
          </w:p>
        </w:tc>
        <w:tc>
          <w:tcPr>
            <w:tcW w:w="1417" w:type="dxa"/>
            <w:tcBorders>
              <w:top w:val="nil"/>
              <w:left w:val="nil"/>
              <w:bottom w:val="nil"/>
              <w:right w:val="nil"/>
            </w:tcBorders>
          </w:tcPr>
          <w:p w:rsidR="009A3AFE" w:rsidRPr="00CA707F" w:rsidRDefault="009A3AFE" w:rsidP="009A3AFE">
            <w:pPr>
              <w:spacing w:after="120"/>
              <w:jc w:val="right"/>
              <w:rPr>
                <w:szCs w:val="24"/>
              </w:rPr>
            </w:pPr>
            <w:r>
              <w:rPr>
                <w:szCs w:val="24"/>
              </w:rPr>
              <w:t>0.9</w:t>
            </w:r>
          </w:p>
        </w:tc>
      </w:tr>
      <w:tr w:rsidR="009A3AFE" w:rsidTr="009A3A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7" w:type="dxa"/>
            <w:tcBorders>
              <w:top w:val="nil"/>
              <w:left w:val="nil"/>
              <w:bottom w:val="nil"/>
              <w:right w:val="nil"/>
            </w:tcBorders>
          </w:tcPr>
          <w:p w:rsidR="009A3AFE" w:rsidRDefault="009A3AFE" w:rsidP="009A3AFE">
            <w:pPr>
              <w:spacing w:after="120"/>
              <w:rPr>
                <w:szCs w:val="24"/>
              </w:rPr>
            </w:pPr>
            <w:r>
              <w:rPr>
                <w:szCs w:val="24"/>
              </w:rPr>
              <w:t>Financial liabilities at amortised cost</w:t>
            </w:r>
          </w:p>
        </w:tc>
        <w:tc>
          <w:tcPr>
            <w:tcW w:w="1985" w:type="dxa"/>
            <w:tcBorders>
              <w:top w:val="nil"/>
              <w:left w:val="nil"/>
              <w:bottom w:val="nil"/>
              <w:right w:val="nil"/>
            </w:tcBorders>
          </w:tcPr>
          <w:p w:rsidR="009A3AFE" w:rsidRPr="00CA707F" w:rsidRDefault="009A3AFE" w:rsidP="009A3AFE">
            <w:pPr>
              <w:spacing w:after="120"/>
              <w:jc w:val="right"/>
              <w:rPr>
                <w:szCs w:val="24"/>
              </w:rPr>
            </w:pPr>
            <w:r>
              <w:rPr>
                <w:szCs w:val="24"/>
              </w:rPr>
              <w:t>9.2</w:t>
            </w:r>
          </w:p>
        </w:tc>
        <w:tc>
          <w:tcPr>
            <w:tcW w:w="2095" w:type="dxa"/>
            <w:tcBorders>
              <w:top w:val="nil"/>
              <w:left w:val="nil"/>
              <w:bottom w:val="nil"/>
              <w:right w:val="nil"/>
            </w:tcBorders>
          </w:tcPr>
          <w:p w:rsidR="009A3AFE" w:rsidRPr="00CA707F" w:rsidRDefault="009A3AFE" w:rsidP="009A3AFE">
            <w:pPr>
              <w:spacing w:after="120"/>
              <w:jc w:val="right"/>
              <w:rPr>
                <w:szCs w:val="24"/>
              </w:rPr>
            </w:pPr>
            <w:r>
              <w:rPr>
                <w:szCs w:val="24"/>
              </w:rPr>
              <w:t>-</w:t>
            </w:r>
          </w:p>
        </w:tc>
        <w:tc>
          <w:tcPr>
            <w:tcW w:w="1449" w:type="dxa"/>
            <w:tcBorders>
              <w:top w:val="nil"/>
              <w:left w:val="nil"/>
              <w:bottom w:val="nil"/>
              <w:right w:val="nil"/>
            </w:tcBorders>
          </w:tcPr>
          <w:p w:rsidR="009A3AFE" w:rsidRPr="00CA707F" w:rsidRDefault="009A3AFE" w:rsidP="009A3AFE">
            <w:pPr>
              <w:spacing w:after="120"/>
              <w:jc w:val="right"/>
              <w:rPr>
                <w:szCs w:val="24"/>
              </w:rPr>
            </w:pPr>
            <w:r>
              <w:rPr>
                <w:szCs w:val="24"/>
              </w:rPr>
              <w:t>-</w:t>
            </w:r>
          </w:p>
        </w:tc>
        <w:tc>
          <w:tcPr>
            <w:tcW w:w="1417" w:type="dxa"/>
            <w:tcBorders>
              <w:top w:val="nil"/>
              <w:left w:val="nil"/>
              <w:bottom w:val="nil"/>
              <w:right w:val="nil"/>
            </w:tcBorders>
          </w:tcPr>
          <w:p w:rsidR="009A3AFE" w:rsidRDefault="009A3AFE" w:rsidP="009A3AFE">
            <w:pPr>
              <w:spacing w:after="120"/>
              <w:jc w:val="right"/>
              <w:rPr>
                <w:szCs w:val="24"/>
              </w:rPr>
            </w:pPr>
            <w:r>
              <w:rPr>
                <w:szCs w:val="24"/>
              </w:rPr>
              <w:t>9.2</w:t>
            </w:r>
          </w:p>
        </w:tc>
      </w:tr>
      <w:tr w:rsidR="009A3AFE" w:rsidRPr="00CA707F" w:rsidTr="009A3A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7" w:type="dxa"/>
            <w:tcBorders>
              <w:top w:val="nil"/>
              <w:left w:val="nil"/>
              <w:bottom w:val="nil"/>
              <w:right w:val="nil"/>
            </w:tcBorders>
          </w:tcPr>
          <w:p w:rsidR="009A3AFE" w:rsidRPr="00CA707F" w:rsidRDefault="009A3AFE" w:rsidP="009A3AFE">
            <w:pPr>
              <w:spacing w:after="120"/>
              <w:rPr>
                <w:b/>
                <w:szCs w:val="24"/>
              </w:rPr>
            </w:pPr>
            <w:r w:rsidRPr="00CA707F">
              <w:rPr>
                <w:b/>
                <w:szCs w:val="24"/>
              </w:rPr>
              <w:t>Total Financial assets</w:t>
            </w:r>
          </w:p>
        </w:tc>
        <w:tc>
          <w:tcPr>
            <w:tcW w:w="1985" w:type="dxa"/>
            <w:tcBorders>
              <w:top w:val="nil"/>
              <w:left w:val="nil"/>
              <w:bottom w:val="nil"/>
              <w:right w:val="nil"/>
            </w:tcBorders>
          </w:tcPr>
          <w:p w:rsidR="009A3AFE" w:rsidRPr="00CA707F" w:rsidRDefault="009A3AFE" w:rsidP="009A3AFE">
            <w:pPr>
              <w:spacing w:after="120"/>
              <w:jc w:val="right"/>
              <w:rPr>
                <w:b/>
                <w:szCs w:val="24"/>
              </w:rPr>
            </w:pPr>
            <w:r>
              <w:rPr>
                <w:b/>
                <w:szCs w:val="24"/>
              </w:rPr>
              <w:t>10.1</w:t>
            </w:r>
          </w:p>
        </w:tc>
        <w:tc>
          <w:tcPr>
            <w:tcW w:w="2095" w:type="dxa"/>
            <w:tcBorders>
              <w:top w:val="nil"/>
              <w:left w:val="nil"/>
              <w:bottom w:val="nil"/>
              <w:right w:val="nil"/>
            </w:tcBorders>
          </w:tcPr>
          <w:p w:rsidR="009A3AFE" w:rsidRPr="00CA707F" w:rsidRDefault="009A3AFE" w:rsidP="009A3AFE">
            <w:pPr>
              <w:spacing w:after="120"/>
              <w:jc w:val="right"/>
              <w:rPr>
                <w:b/>
                <w:szCs w:val="24"/>
              </w:rPr>
            </w:pPr>
            <w:r w:rsidRPr="00CA707F">
              <w:rPr>
                <w:b/>
                <w:szCs w:val="24"/>
              </w:rPr>
              <w:t>0</w:t>
            </w:r>
          </w:p>
        </w:tc>
        <w:tc>
          <w:tcPr>
            <w:tcW w:w="1449" w:type="dxa"/>
            <w:tcBorders>
              <w:top w:val="nil"/>
              <w:left w:val="nil"/>
              <w:bottom w:val="nil"/>
              <w:right w:val="nil"/>
            </w:tcBorders>
          </w:tcPr>
          <w:p w:rsidR="009A3AFE" w:rsidRPr="00CA707F" w:rsidRDefault="009A3AFE" w:rsidP="009A3AFE">
            <w:pPr>
              <w:spacing w:after="120"/>
              <w:jc w:val="right"/>
              <w:rPr>
                <w:b/>
                <w:szCs w:val="24"/>
              </w:rPr>
            </w:pPr>
            <w:r w:rsidRPr="00CA707F">
              <w:rPr>
                <w:b/>
                <w:szCs w:val="24"/>
              </w:rPr>
              <w:t>0</w:t>
            </w:r>
          </w:p>
        </w:tc>
        <w:tc>
          <w:tcPr>
            <w:tcW w:w="1417" w:type="dxa"/>
            <w:tcBorders>
              <w:top w:val="nil"/>
              <w:left w:val="nil"/>
              <w:bottom w:val="nil"/>
              <w:right w:val="nil"/>
            </w:tcBorders>
          </w:tcPr>
          <w:p w:rsidR="009A3AFE" w:rsidRPr="00CA707F" w:rsidRDefault="009A3AFE" w:rsidP="009A3AFE">
            <w:pPr>
              <w:spacing w:after="120"/>
              <w:jc w:val="right"/>
              <w:rPr>
                <w:b/>
                <w:szCs w:val="24"/>
              </w:rPr>
            </w:pPr>
            <w:r>
              <w:rPr>
                <w:b/>
                <w:szCs w:val="24"/>
              </w:rPr>
              <w:t>10.1</w:t>
            </w:r>
          </w:p>
        </w:tc>
      </w:tr>
    </w:tbl>
    <w:p w:rsidR="009A3AFE" w:rsidRPr="00CA707F" w:rsidRDefault="009A3AFE" w:rsidP="009A3AFE">
      <w:pPr>
        <w:ind w:left="720"/>
        <w:rPr>
          <w:b/>
          <w:szCs w:val="24"/>
        </w:rPr>
      </w:pPr>
    </w:p>
    <w:p w:rsidR="009A3AFE" w:rsidRPr="00E539D1" w:rsidRDefault="009A3AFE" w:rsidP="009A3AFE">
      <w:pPr>
        <w:numPr>
          <w:ilvl w:val="0"/>
          <w:numId w:val="2"/>
        </w:numPr>
        <w:spacing w:after="120"/>
        <w:rPr>
          <w:b/>
          <w:szCs w:val="24"/>
        </w:rPr>
      </w:pPr>
      <w:r>
        <w:rPr>
          <w:b/>
          <w:szCs w:val="24"/>
        </w:rPr>
        <w:t>Nature and extent of risks</w:t>
      </w:r>
      <w:r w:rsidRPr="004F60CA">
        <w:rPr>
          <w:b/>
        </w:rPr>
        <w:t xml:space="preserve"> </w:t>
      </w:r>
      <w:r w:rsidRPr="00DA13A5">
        <w:rPr>
          <w:b/>
        </w:rPr>
        <w:t>arising from Financial Instruments</w:t>
      </w:r>
    </w:p>
    <w:p w:rsidR="009A3AFE" w:rsidRPr="00E539D1" w:rsidRDefault="009A3AFE" w:rsidP="009A3AFE">
      <w:pPr>
        <w:ind w:firstLine="720"/>
      </w:pPr>
      <w:r w:rsidRPr="00E539D1">
        <w:t xml:space="preserve">Risk and risk management </w:t>
      </w:r>
    </w:p>
    <w:p w:rsidR="009A3AFE" w:rsidRPr="00E539D1" w:rsidRDefault="009A3AFE" w:rsidP="009A3AFE">
      <w:pPr>
        <w:rPr>
          <w:b/>
        </w:rPr>
      </w:pPr>
    </w:p>
    <w:p w:rsidR="009A3AFE" w:rsidRDefault="009A3AFE" w:rsidP="009A3AFE">
      <w:pPr>
        <w:ind w:left="720"/>
      </w:pPr>
      <w:r>
        <w:t xml:space="preserve">The Fund's primary long-term risk is that the Fund's assets will fall short of its liabilities (i.e. promised benefits payable to members).  The aim of investment risk management is to balance the minimisation of the risk of an overall reduction in the value of the Fund with maximising the opportunity for gains across the whole Fund portfolio.  The Fund achieves this through asset diversification to reduce exposure to market risk (price risk, currency risk and interest rate risk) and keep credit risk to an acceptable level.  In addition, the Fund manages its liquidity risk to ensure there is sufficient liquidity to meet the Fund's forecast cash flow.  </w:t>
      </w:r>
    </w:p>
    <w:p w:rsidR="009A3AFE" w:rsidRDefault="009A3AFE" w:rsidP="009A3AFE"/>
    <w:p w:rsidR="009A3AFE" w:rsidRDefault="009A3AFE" w:rsidP="009A3AFE">
      <w:pPr>
        <w:ind w:left="720"/>
      </w:pPr>
      <w:r>
        <w:t>Responsibility for the Fund's risk management strategy rests with the Pension Fund Committee.  Risk management policies are established to identify and analyse the risks faced by the Fund's operations.  Policies are reviewed regularly to reflect change in activity and in market conditions.</w:t>
      </w:r>
    </w:p>
    <w:p w:rsidR="009A3AFE" w:rsidRDefault="009A3AFE" w:rsidP="009A3AFE">
      <w:pPr>
        <w:spacing w:after="120"/>
        <w:ind w:left="720"/>
        <w:rPr>
          <w:b/>
          <w:szCs w:val="24"/>
        </w:rPr>
      </w:pPr>
    </w:p>
    <w:p w:rsidR="009A3AFE" w:rsidRDefault="009A3AFE" w:rsidP="00C2774F">
      <w:pPr>
        <w:pStyle w:val="ListParagraph"/>
        <w:numPr>
          <w:ilvl w:val="0"/>
          <w:numId w:val="26"/>
        </w:numPr>
      </w:pPr>
      <w:r>
        <w:t xml:space="preserve">Market risk </w:t>
      </w:r>
    </w:p>
    <w:p w:rsidR="009A3AFE" w:rsidRDefault="009A3AFE" w:rsidP="009A3AFE"/>
    <w:p w:rsidR="009A3AFE" w:rsidRDefault="009A3AFE" w:rsidP="009A3AFE">
      <w:pPr>
        <w:ind w:left="709"/>
      </w:pPr>
      <w:r>
        <w:t xml:space="preserve">Market risk is risk of loss from fluctuations in equity and commodity prices, interest and foreign exchange rates and credit spreads.  The Fund is exposed to market risk from its investment activities, particularly through its equity holdings.  </w:t>
      </w:r>
    </w:p>
    <w:p w:rsidR="009A3AFE" w:rsidRDefault="009A3AFE" w:rsidP="009A3AFE">
      <w:pPr>
        <w:ind w:left="709"/>
      </w:pPr>
    </w:p>
    <w:p w:rsidR="009A3AFE" w:rsidRDefault="009A3AFE" w:rsidP="009A3AFE">
      <w:pPr>
        <w:ind w:left="709"/>
      </w:pPr>
      <w:r>
        <w:t>The objective of the Fund's risk management strategy is to identify, manage and keep market risk exposure within acceptable parameters, whilst optimising the return on risk.</w:t>
      </w:r>
    </w:p>
    <w:p w:rsidR="009A3AFE" w:rsidRDefault="009A3AFE" w:rsidP="009A3AFE">
      <w:pPr>
        <w:ind w:left="709"/>
      </w:pPr>
    </w:p>
    <w:p w:rsidR="009A3AFE" w:rsidRDefault="009A3AFE" w:rsidP="009A3AFE">
      <w:pPr>
        <w:ind w:left="709"/>
      </w:pPr>
      <w:r>
        <w:t xml:space="preserve">In general, excessive volatility in market risk is managed through the diversification of the portfolio in terms of geographical and industry sectors and individual securities.  To mitigate market risk, the Fund and its investment advisors undertake appropriate monitoring of market conditions and benchmarking analysis. </w:t>
      </w:r>
    </w:p>
    <w:p w:rsidR="009A3AFE" w:rsidRDefault="009A3AFE" w:rsidP="009A3AFE">
      <w:pPr>
        <w:ind w:left="709"/>
      </w:pPr>
    </w:p>
    <w:p w:rsidR="009A3AFE" w:rsidRDefault="009A3AFE" w:rsidP="009A3AFE">
      <w:pPr>
        <w:ind w:left="720"/>
      </w:pPr>
      <w:r>
        <w:rPr>
          <w:b/>
        </w:rPr>
        <w:t xml:space="preserve">Other price risk </w:t>
      </w:r>
      <w:r>
        <w:t xml:space="preserve"> </w:t>
      </w:r>
    </w:p>
    <w:p w:rsidR="009A3AFE" w:rsidRDefault="009A3AFE" w:rsidP="009A3AFE">
      <w:pPr>
        <w:ind w:left="720"/>
      </w:pPr>
    </w:p>
    <w:p w:rsidR="009A3AFE" w:rsidRPr="009245E4" w:rsidRDefault="009A3AFE" w:rsidP="009A3AFE">
      <w:pPr>
        <w:ind w:left="720"/>
      </w:pPr>
      <w:r>
        <w:t xml:space="preserve">Other price risk represents the risk that the value of a financial instrument will fluctuate as a result of changes in market prices (other than those arising from interest rate risk or foreign exchange risk), whether those changes are caused by factors specific to the individual instrument or its issuer or factors affecting all such instruments in the market.     </w:t>
      </w:r>
    </w:p>
    <w:p w:rsidR="009A3AFE" w:rsidRDefault="009A3AFE" w:rsidP="009A3AFE">
      <w:pPr>
        <w:ind w:left="720"/>
      </w:pPr>
    </w:p>
    <w:p w:rsidR="009A3AFE" w:rsidRDefault="009A3AFE" w:rsidP="009A3AFE">
      <w:pPr>
        <w:ind w:left="720"/>
      </w:pPr>
      <w:r>
        <w:t xml:space="preserve">The Fund is exposed to share and derivatives price risk.  This arises from investments held by the Fund for which the future price is uncertain.  All securities investments present a risk of loss of capital.  Except for shares sold short, the maximum risk resulting from financial instruments is determined by the fair value of the financial instruments.  Possible losses from shares sold short is unlimited. </w:t>
      </w:r>
    </w:p>
    <w:p w:rsidR="009A3AFE" w:rsidRDefault="009A3AFE" w:rsidP="009A3AFE">
      <w:pPr>
        <w:ind w:left="720"/>
      </w:pPr>
    </w:p>
    <w:p w:rsidR="009A3AFE" w:rsidRDefault="009A3AFE" w:rsidP="009A3AFE">
      <w:pPr>
        <w:ind w:left="720"/>
      </w:pPr>
      <w:r>
        <w:t xml:space="preserve">The Fund's investment managers mitigate this price risk through diversification.  The selection of securities and other financial instruments is monitored by the Fund to ensure it is within limits specified in the fund investment strategy. </w:t>
      </w:r>
    </w:p>
    <w:p w:rsidR="009A3AFE" w:rsidRDefault="009A3AFE" w:rsidP="009A3AFE">
      <w:pPr>
        <w:ind w:left="720"/>
      </w:pPr>
    </w:p>
    <w:p w:rsidR="009A3AFE" w:rsidRDefault="009A3AFE" w:rsidP="009A3AFE">
      <w:pPr>
        <w:ind w:left="720"/>
        <w:rPr>
          <w:b/>
        </w:rPr>
      </w:pPr>
      <w:r>
        <w:rPr>
          <w:b/>
        </w:rPr>
        <w:t>Other price risk – sensitivity analysis</w:t>
      </w:r>
    </w:p>
    <w:p w:rsidR="009A3AFE" w:rsidRDefault="009A3AFE" w:rsidP="009A3AFE">
      <w:pPr>
        <w:ind w:left="720"/>
        <w:rPr>
          <w:b/>
        </w:rPr>
      </w:pPr>
    </w:p>
    <w:p w:rsidR="009A3AFE" w:rsidRDefault="009A3AFE" w:rsidP="009A3AFE">
      <w:pPr>
        <w:ind w:left="720"/>
      </w:pPr>
      <w:r>
        <w:t xml:space="preserve">Following analysis of historical data and expected investment return movement during the financial year, in consultation with the Fund's investment advisors, the Fund has determined that the following movements in market price risks are reasonably possible for the 2012-13 reporting period. </w:t>
      </w:r>
    </w:p>
    <w:p w:rsidR="00F332F8" w:rsidRDefault="00F332F8" w:rsidP="009A3AFE">
      <w:pPr>
        <w:ind w:left="720"/>
      </w:pPr>
    </w:p>
    <w:p w:rsidR="009A3AFE" w:rsidRDefault="009A3AFE" w:rsidP="009A3AFE">
      <w:pPr>
        <w:ind w:left="720"/>
      </w:pPr>
    </w:p>
    <w:tbl>
      <w:tblPr>
        <w:tblStyle w:val="TableGrid"/>
        <w:tblW w:w="0" w:type="auto"/>
        <w:tblInd w:w="720" w:type="dxa"/>
        <w:tblBorders>
          <w:left w:val="none" w:sz="0" w:space="0" w:color="auto"/>
          <w:right w:val="none" w:sz="0" w:space="0" w:color="auto"/>
          <w:insideV w:val="none" w:sz="0" w:space="0" w:color="auto"/>
        </w:tblBorders>
        <w:tblLook w:val="04A0"/>
      </w:tblPr>
      <w:tblGrid>
        <w:gridCol w:w="4594"/>
        <w:gridCol w:w="4590"/>
      </w:tblGrid>
      <w:tr w:rsidR="009A3AFE" w:rsidTr="009A3AFE">
        <w:tc>
          <w:tcPr>
            <w:tcW w:w="5149" w:type="dxa"/>
          </w:tcPr>
          <w:p w:rsidR="009A3AFE" w:rsidRDefault="009A3AFE" w:rsidP="009A3AFE">
            <w:r>
              <w:t xml:space="preserve">Asset Type </w:t>
            </w:r>
          </w:p>
        </w:tc>
        <w:tc>
          <w:tcPr>
            <w:tcW w:w="5147" w:type="dxa"/>
          </w:tcPr>
          <w:p w:rsidR="009A3AFE" w:rsidRDefault="009A3AFE" w:rsidP="009A3AFE">
            <w:pPr>
              <w:jc w:val="right"/>
            </w:pPr>
            <w:r>
              <w:t>Potential market movements (+/</w:t>
            </w:r>
            <w:r>
              <w:softHyphen/>
              <w:t>-)</w:t>
            </w:r>
          </w:p>
        </w:tc>
      </w:tr>
      <w:tr w:rsidR="009A3AFE" w:rsidTr="009A3AFE">
        <w:tc>
          <w:tcPr>
            <w:tcW w:w="5149" w:type="dxa"/>
          </w:tcPr>
          <w:p w:rsidR="009A3AFE" w:rsidRDefault="009A3AFE" w:rsidP="009A3AFE">
            <w:r>
              <w:t>UK Bonds</w:t>
            </w:r>
          </w:p>
        </w:tc>
        <w:tc>
          <w:tcPr>
            <w:tcW w:w="5147" w:type="dxa"/>
          </w:tcPr>
          <w:p w:rsidR="009A3AFE" w:rsidRDefault="009A3AFE" w:rsidP="009A3AFE">
            <w:pPr>
              <w:jc w:val="right"/>
            </w:pPr>
            <w:r>
              <w:t>5.7%</w:t>
            </w:r>
          </w:p>
        </w:tc>
      </w:tr>
      <w:tr w:rsidR="009A3AFE" w:rsidTr="009A3AFE">
        <w:tc>
          <w:tcPr>
            <w:tcW w:w="5149" w:type="dxa"/>
          </w:tcPr>
          <w:p w:rsidR="009A3AFE" w:rsidRDefault="009A3AFE" w:rsidP="009A3AFE">
            <w:r>
              <w:t xml:space="preserve">Overseas bonds </w:t>
            </w:r>
          </w:p>
        </w:tc>
        <w:tc>
          <w:tcPr>
            <w:tcW w:w="5147" w:type="dxa"/>
          </w:tcPr>
          <w:p w:rsidR="009A3AFE" w:rsidRDefault="009A3AFE" w:rsidP="009A3AFE">
            <w:pPr>
              <w:jc w:val="right"/>
            </w:pPr>
            <w:r>
              <w:t>11.8%</w:t>
            </w:r>
          </w:p>
        </w:tc>
      </w:tr>
      <w:tr w:rsidR="009A3AFE" w:rsidTr="009A3AFE">
        <w:tc>
          <w:tcPr>
            <w:tcW w:w="5149" w:type="dxa"/>
          </w:tcPr>
          <w:p w:rsidR="009A3AFE" w:rsidRDefault="009A3AFE" w:rsidP="009A3AFE">
            <w:r>
              <w:t xml:space="preserve">UK equities </w:t>
            </w:r>
          </w:p>
        </w:tc>
        <w:tc>
          <w:tcPr>
            <w:tcW w:w="5147" w:type="dxa"/>
          </w:tcPr>
          <w:p w:rsidR="009A3AFE" w:rsidRDefault="009A3AFE" w:rsidP="009A3AFE">
            <w:pPr>
              <w:jc w:val="right"/>
            </w:pPr>
            <w:r>
              <w:t>15.3%</w:t>
            </w:r>
          </w:p>
        </w:tc>
      </w:tr>
      <w:tr w:rsidR="009A3AFE" w:rsidTr="009A3AFE">
        <w:tc>
          <w:tcPr>
            <w:tcW w:w="5149" w:type="dxa"/>
          </w:tcPr>
          <w:p w:rsidR="009A3AFE" w:rsidRDefault="009A3AFE" w:rsidP="009A3AFE">
            <w:r>
              <w:t xml:space="preserve">Overseas equities </w:t>
            </w:r>
          </w:p>
        </w:tc>
        <w:tc>
          <w:tcPr>
            <w:tcW w:w="5147" w:type="dxa"/>
          </w:tcPr>
          <w:p w:rsidR="009A3AFE" w:rsidRDefault="009A3AFE" w:rsidP="009A3AFE">
            <w:pPr>
              <w:jc w:val="right"/>
            </w:pPr>
            <w:r>
              <w:t>14.8%</w:t>
            </w:r>
          </w:p>
        </w:tc>
      </w:tr>
      <w:tr w:rsidR="009A3AFE" w:rsidTr="009A3AFE">
        <w:tc>
          <w:tcPr>
            <w:tcW w:w="5149" w:type="dxa"/>
          </w:tcPr>
          <w:p w:rsidR="009A3AFE" w:rsidRDefault="009A3AFE" w:rsidP="009A3AFE">
            <w:r>
              <w:t xml:space="preserve">Index linked Gilts </w:t>
            </w:r>
          </w:p>
        </w:tc>
        <w:tc>
          <w:tcPr>
            <w:tcW w:w="5147" w:type="dxa"/>
          </w:tcPr>
          <w:p w:rsidR="009A3AFE" w:rsidRDefault="009A3AFE" w:rsidP="009A3AFE">
            <w:pPr>
              <w:jc w:val="right"/>
            </w:pPr>
            <w:r>
              <w:t>7.6%</w:t>
            </w:r>
          </w:p>
        </w:tc>
      </w:tr>
      <w:tr w:rsidR="009A3AFE" w:rsidTr="009A3AFE">
        <w:tc>
          <w:tcPr>
            <w:tcW w:w="5149" w:type="dxa"/>
          </w:tcPr>
          <w:p w:rsidR="009A3AFE" w:rsidRDefault="009A3AFE" w:rsidP="009A3AFE">
            <w:r>
              <w:t>Cash</w:t>
            </w:r>
          </w:p>
        </w:tc>
        <w:tc>
          <w:tcPr>
            <w:tcW w:w="5147" w:type="dxa"/>
          </w:tcPr>
          <w:p w:rsidR="009A3AFE" w:rsidRDefault="009A3AFE" w:rsidP="009A3AFE">
            <w:pPr>
              <w:jc w:val="right"/>
            </w:pPr>
            <w:r>
              <w:t>0%</w:t>
            </w:r>
          </w:p>
        </w:tc>
      </w:tr>
      <w:tr w:rsidR="009A3AFE" w:rsidTr="009A3AFE">
        <w:tc>
          <w:tcPr>
            <w:tcW w:w="5149" w:type="dxa"/>
          </w:tcPr>
          <w:p w:rsidR="009A3AFE" w:rsidRDefault="009A3AFE" w:rsidP="009A3AFE">
            <w:r>
              <w:t xml:space="preserve">Alternatives </w:t>
            </w:r>
          </w:p>
        </w:tc>
        <w:tc>
          <w:tcPr>
            <w:tcW w:w="5147" w:type="dxa"/>
          </w:tcPr>
          <w:p w:rsidR="009A3AFE" w:rsidRDefault="009A3AFE" w:rsidP="009A3AFE">
            <w:pPr>
              <w:jc w:val="right"/>
            </w:pPr>
            <w:r>
              <w:t>7.7%</w:t>
            </w:r>
          </w:p>
        </w:tc>
      </w:tr>
      <w:tr w:rsidR="009A3AFE" w:rsidTr="009A3AFE">
        <w:tc>
          <w:tcPr>
            <w:tcW w:w="5149" w:type="dxa"/>
          </w:tcPr>
          <w:p w:rsidR="009A3AFE" w:rsidRDefault="009A3AFE" w:rsidP="009A3AFE">
            <w:r>
              <w:t>Property</w:t>
            </w:r>
          </w:p>
        </w:tc>
        <w:tc>
          <w:tcPr>
            <w:tcW w:w="5147" w:type="dxa"/>
          </w:tcPr>
          <w:p w:rsidR="009A3AFE" w:rsidRDefault="009A3AFE" w:rsidP="009A3AFE">
            <w:pPr>
              <w:jc w:val="right"/>
            </w:pPr>
            <w:r>
              <w:t>9.4%</w:t>
            </w:r>
          </w:p>
        </w:tc>
      </w:tr>
    </w:tbl>
    <w:p w:rsidR="009A3AFE" w:rsidRDefault="009A3AFE" w:rsidP="009A3AFE">
      <w:pPr>
        <w:ind w:left="720"/>
      </w:pPr>
      <w:r>
        <w:t xml:space="preserve"> </w:t>
      </w:r>
    </w:p>
    <w:p w:rsidR="009A3AFE" w:rsidRDefault="009A3AFE" w:rsidP="009A3AFE">
      <w:pPr>
        <w:ind w:left="720"/>
      </w:pPr>
      <w:r>
        <w:t xml:space="preserve">The potential price changes disclosed above are broadly consistent with a one-standard deviation movement in value of the asset.  The sensitivities are consistent with the assumption contained in the investment advisors' most recent review.  This analysis assumes that all other variables, in particular foreign currency exchange rates and interest rates, remain the same. </w:t>
      </w:r>
    </w:p>
    <w:p w:rsidR="009A3AFE" w:rsidRDefault="009A3AFE" w:rsidP="009A3AFE">
      <w:pPr>
        <w:ind w:left="720"/>
      </w:pPr>
    </w:p>
    <w:p w:rsidR="009A3AFE" w:rsidRDefault="009A3AFE" w:rsidP="009A3AFE">
      <w:pPr>
        <w:ind w:left="720"/>
      </w:pPr>
      <w:r>
        <w:t>Had the market of the Fund's investments increased/decreased in line with the above, the change in the net assets available to pay benefits in the market place would have been as follows (the prior year comparator is shown below):</w:t>
      </w:r>
    </w:p>
    <w:p w:rsidR="00F332F8" w:rsidRDefault="00F332F8" w:rsidP="009A3AFE">
      <w:pPr>
        <w:ind w:left="720"/>
      </w:pPr>
    </w:p>
    <w:p w:rsidR="009A3AFE" w:rsidRDefault="009A3AFE" w:rsidP="009A3AFE">
      <w:pPr>
        <w:ind w:left="720"/>
      </w:pPr>
    </w:p>
    <w:tbl>
      <w:tblPr>
        <w:tblStyle w:val="TableGrid"/>
        <w:tblW w:w="0" w:type="auto"/>
        <w:tblInd w:w="720" w:type="dxa"/>
        <w:tblLook w:val="04A0"/>
      </w:tblPr>
      <w:tblGrid>
        <w:gridCol w:w="3564"/>
        <w:gridCol w:w="1575"/>
        <w:gridCol w:w="1444"/>
        <w:gridCol w:w="1237"/>
        <w:gridCol w:w="1364"/>
      </w:tblGrid>
      <w:tr w:rsidR="009A3AFE" w:rsidTr="009A3AFE">
        <w:tc>
          <w:tcPr>
            <w:tcW w:w="4350" w:type="dxa"/>
            <w:tcBorders>
              <w:top w:val="single" w:sz="4" w:space="0" w:color="auto"/>
              <w:left w:val="nil"/>
              <w:bottom w:val="single" w:sz="4" w:space="0" w:color="auto"/>
              <w:right w:val="nil"/>
            </w:tcBorders>
          </w:tcPr>
          <w:p w:rsidR="009A3AFE" w:rsidRDefault="009A3AFE" w:rsidP="009A3AFE">
            <w:r>
              <w:t>Asset Type</w:t>
            </w:r>
          </w:p>
        </w:tc>
        <w:tc>
          <w:tcPr>
            <w:tcW w:w="1816" w:type="dxa"/>
            <w:tcBorders>
              <w:top w:val="single" w:sz="4" w:space="0" w:color="auto"/>
              <w:left w:val="nil"/>
              <w:bottom w:val="single" w:sz="4" w:space="0" w:color="auto"/>
              <w:right w:val="nil"/>
            </w:tcBorders>
          </w:tcPr>
          <w:p w:rsidR="009A3AFE" w:rsidRDefault="009A3AFE" w:rsidP="009A3AFE">
            <w:pPr>
              <w:jc w:val="right"/>
            </w:pPr>
            <w:r>
              <w:t>Value as at 31</w:t>
            </w:r>
          </w:p>
          <w:p w:rsidR="009A3AFE" w:rsidRDefault="009A3AFE" w:rsidP="009A3AFE">
            <w:pPr>
              <w:jc w:val="right"/>
            </w:pPr>
            <w:r>
              <w:t>March 2012</w:t>
            </w:r>
          </w:p>
        </w:tc>
        <w:tc>
          <w:tcPr>
            <w:tcW w:w="1444" w:type="dxa"/>
            <w:tcBorders>
              <w:top w:val="single" w:sz="4" w:space="0" w:color="auto"/>
              <w:left w:val="nil"/>
              <w:bottom w:val="single" w:sz="4" w:space="0" w:color="auto"/>
              <w:right w:val="nil"/>
            </w:tcBorders>
          </w:tcPr>
          <w:p w:rsidR="009A3AFE" w:rsidRDefault="009A3AFE" w:rsidP="009A3AFE">
            <w:pPr>
              <w:jc w:val="right"/>
            </w:pPr>
            <w:r>
              <w:t xml:space="preserve">Percentage Change </w:t>
            </w:r>
          </w:p>
        </w:tc>
        <w:tc>
          <w:tcPr>
            <w:tcW w:w="1276" w:type="dxa"/>
            <w:tcBorders>
              <w:top w:val="single" w:sz="4" w:space="0" w:color="auto"/>
              <w:left w:val="nil"/>
              <w:bottom w:val="single" w:sz="4" w:space="0" w:color="auto"/>
              <w:right w:val="nil"/>
            </w:tcBorders>
          </w:tcPr>
          <w:p w:rsidR="009A3AFE" w:rsidRDefault="009A3AFE" w:rsidP="009A3AFE">
            <w:pPr>
              <w:jc w:val="right"/>
            </w:pPr>
            <w:r>
              <w:t xml:space="preserve">Value on Increase </w:t>
            </w:r>
          </w:p>
        </w:tc>
        <w:tc>
          <w:tcPr>
            <w:tcW w:w="1410" w:type="dxa"/>
            <w:tcBorders>
              <w:top w:val="single" w:sz="4" w:space="0" w:color="auto"/>
              <w:left w:val="nil"/>
              <w:bottom w:val="single" w:sz="4" w:space="0" w:color="auto"/>
              <w:right w:val="nil"/>
            </w:tcBorders>
          </w:tcPr>
          <w:p w:rsidR="009A3AFE" w:rsidRDefault="009A3AFE" w:rsidP="009A3AFE">
            <w:pPr>
              <w:jc w:val="right"/>
            </w:pPr>
            <w:r>
              <w:t xml:space="preserve">Value on </w:t>
            </w:r>
          </w:p>
          <w:p w:rsidR="009A3AFE" w:rsidRDefault="009A3AFE" w:rsidP="009A3AFE">
            <w:pPr>
              <w:jc w:val="right"/>
            </w:pPr>
            <w:r>
              <w:t xml:space="preserve">Decrease </w:t>
            </w:r>
          </w:p>
        </w:tc>
      </w:tr>
      <w:tr w:rsidR="009A3AFE" w:rsidTr="009A3AFE">
        <w:tc>
          <w:tcPr>
            <w:tcW w:w="4350" w:type="dxa"/>
            <w:tcBorders>
              <w:top w:val="single" w:sz="4" w:space="0" w:color="auto"/>
              <w:left w:val="nil"/>
              <w:bottom w:val="single" w:sz="4" w:space="0" w:color="auto"/>
              <w:right w:val="nil"/>
            </w:tcBorders>
          </w:tcPr>
          <w:p w:rsidR="009A3AFE" w:rsidRDefault="009A3AFE" w:rsidP="009A3AFE">
            <w:pPr>
              <w:rPr>
                <w:b/>
              </w:rPr>
            </w:pPr>
          </w:p>
        </w:tc>
        <w:tc>
          <w:tcPr>
            <w:tcW w:w="1816" w:type="dxa"/>
            <w:tcBorders>
              <w:top w:val="single" w:sz="4" w:space="0" w:color="auto"/>
              <w:left w:val="nil"/>
              <w:bottom w:val="single" w:sz="4" w:space="0" w:color="auto"/>
              <w:right w:val="nil"/>
            </w:tcBorders>
          </w:tcPr>
          <w:p w:rsidR="009A3AFE" w:rsidRDefault="009A3AFE" w:rsidP="009A3AFE">
            <w:pPr>
              <w:jc w:val="right"/>
            </w:pPr>
            <w:r>
              <w:t>£m</w:t>
            </w:r>
          </w:p>
        </w:tc>
        <w:tc>
          <w:tcPr>
            <w:tcW w:w="1444" w:type="dxa"/>
            <w:tcBorders>
              <w:top w:val="single" w:sz="4" w:space="0" w:color="auto"/>
              <w:left w:val="nil"/>
              <w:bottom w:val="single" w:sz="4" w:space="0" w:color="auto"/>
              <w:right w:val="nil"/>
            </w:tcBorders>
          </w:tcPr>
          <w:p w:rsidR="009A3AFE" w:rsidRDefault="009A3AFE" w:rsidP="009A3AFE">
            <w:pPr>
              <w:jc w:val="right"/>
            </w:pPr>
            <w:r>
              <w:t>%</w:t>
            </w:r>
          </w:p>
        </w:tc>
        <w:tc>
          <w:tcPr>
            <w:tcW w:w="1276" w:type="dxa"/>
            <w:tcBorders>
              <w:top w:val="single" w:sz="4" w:space="0" w:color="auto"/>
              <w:left w:val="nil"/>
              <w:bottom w:val="single" w:sz="4" w:space="0" w:color="auto"/>
              <w:right w:val="nil"/>
            </w:tcBorders>
          </w:tcPr>
          <w:p w:rsidR="009A3AFE" w:rsidRDefault="009A3AFE" w:rsidP="009A3AFE">
            <w:pPr>
              <w:jc w:val="right"/>
            </w:pPr>
            <w:r>
              <w:t>£m</w:t>
            </w:r>
          </w:p>
        </w:tc>
        <w:tc>
          <w:tcPr>
            <w:tcW w:w="1410" w:type="dxa"/>
            <w:tcBorders>
              <w:top w:val="single" w:sz="4" w:space="0" w:color="auto"/>
              <w:left w:val="nil"/>
              <w:bottom w:val="single" w:sz="4" w:space="0" w:color="auto"/>
              <w:right w:val="nil"/>
            </w:tcBorders>
          </w:tcPr>
          <w:p w:rsidR="009A3AFE" w:rsidRDefault="009A3AFE" w:rsidP="009A3AFE">
            <w:pPr>
              <w:jc w:val="right"/>
            </w:pPr>
            <w:r>
              <w:t xml:space="preserve">£m </w:t>
            </w:r>
          </w:p>
        </w:tc>
      </w:tr>
      <w:tr w:rsidR="009A3AFE" w:rsidTr="009A3AFE">
        <w:tc>
          <w:tcPr>
            <w:tcW w:w="4350" w:type="dxa"/>
            <w:tcBorders>
              <w:top w:val="single" w:sz="4" w:space="0" w:color="auto"/>
              <w:left w:val="nil"/>
              <w:bottom w:val="single" w:sz="4" w:space="0" w:color="auto"/>
              <w:right w:val="nil"/>
            </w:tcBorders>
          </w:tcPr>
          <w:p w:rsidR="009A3AFE" w:rsidRPr="007D6045" w:rsidRDefault="009A3AFE" w:rsidP="009A3AFE">
            <w:pPr>
              <w:rPr>
                <w:b/>
              </w:rPr>
            </w:pPr>
            <w:r w:rsidRPr="007D6045">
              <w:rPr>
                <w:b/>
              </w:rPr>
              <w:t xml:space="preserve">Cash and Cash equivalents </w:t>
            </w:r>
          </w:p>
        </w:tc>
        <w:tc>
          <w:tcPr>
            <w:tcW w:w="1816" w:type="dxa"/>
            <w:tcBorders>
              <w:top w:val="single" w:sz="4" w:space="0" w:color="auto"/>
              <w:left w:val="nil"/>
              <w:bottom w:val="single" w:sz="4" w:space="0" w:color="auto"/>
              <w:right w:val="nil"/>
            </w:tcBorders>
          </w:tcPr>
          <w:p w:rsidR="009A3AFE" w:rsidRDefault="009A3AFE" w:rsidP="009A3AFE"/>
        </w:tc>
        <w:tc>
          <w:tcPr>
            <w:tcW w:w="1444" w:type="dxa"/>
            <w:tcBorders>
              <w:top w:val="single" w:sz="4" w:space="0" w:color="auto"/>
              <w:left w:val="nil"/>
              <w:bottom w:val="single" w:sz="4" w:space="0" w:color="auto"/>
              <w:right w:val="nil"/>
            </w:tcBorders>
          </w:tcPr>
          <w:p w:rsidR="009A3AFE" w:rsidRDefault="009A3AFE" w:rsidP="009A3AFE"/>
        </w:tc>
        <w:tc>
          <w:tcPr>
            <w:tcW w:w="1276" w:type="dxa"/>
            <w:tcBorders>
              <w:top w:val="single" w:sz="4" w:space="0" w:color="auto"/>
              <w:left w:val="nil"/>
              <w:bottom w:val="single" w:sz="4" w:space="0" w:color="auto"/>
              <w:right w:val="nil"/>
            </w:tcBorders>
          </w:tcPr>
          <w:p w:rsidR="009A3AFE" w:rsidRDefault="009A3AFE" w:rsidP="009A3AFE"/>
        </w:tc>
        <w:tc>
          <w:tcPr>
            <w:tcW w:w="1410" w:type="dxa"/>
            <w:tcBorders>
              <w:top w:val="single" w:sz="4" w:space="0" w:color="auto"/>
              <w:left w:val="nil"/>
              <w:bottom w:val="single" w:sz="4" w:space="0" w:color="auto"/>
              <w:right w:val="nil"/>
            </w:tcBorders>
          </w:tcPr>
          <w:p w:rsidR="009A3AFE" w:rsidRDefault="009A3AFE" w:rsidP="009A3AFE"/>
        </w:tc>
      </w:tr>
      <w:tr w:rsidR="009A3AFE" w:rsidTr="009A3AFE">
        <w:tc>
          <w:tcPr>
            <w:tcW w:w="4350" w:type="dxa"/>
            <w:tcBorders>
              <w:top w:val="single" w:sz="4" w:space="0" w:color="auto"/>
              <w:left w:val="nil"/>
              <w:bottom w:val="single" w:sz="4" w:space="0" w:color="auto"/>
              <w:right w:val="nil"/>
            </w:tcBorders>
          </w:tcPr>
          <w:p w:rsidR="009A3AFE" w:rsidRPr="007D6045" w:rsidRDefault="009A3AFE" w:rsidP="009A3AFE">
            <w:pPr>
              <w:rPr>
                <w:b/>
              </w:rPr>
            </w:pPr>
            <w:r w:rsidRPr="007D6045">
              <w:rPr>
                <w:b/>
              </w:rPr>
              <w:t>Investment portfolio assets:</w:t>
            </w:r>
          </w:p>
        </w:tc>
        <w:tc>
          <w:tcPr>
            <w:tcW w:w="1816" w:type="dxa"/>
            <w:tcBorders>
              <w:top w:val="single" w:sz="4" w:space="0" w:color="auto"/>
              <w:left w:val="nil"/>
              <w:bottom w:val="single" w:sz="4" w:space="0" w:color="auto"/>
              <w:right w:val="nil"/>
            </w:tcBorders>
          </w:tcPr>
          <w:p w:rsidR="009A3AFE" w:rsidRDefault="009A3AFE" w:rsidP="009A3AFE"/>
        </w:tc>
        <w:tc>
          <w:tcPr>
            <w:tcW w:w="1444" w:type="dxa"/>
            <w:tcBorders>
              <w:top w:val="single" w:sz="4" w:space="0" w:color="auto"/>
              <w:left w:val="nil"/>
              <w:bottom w:val="single" w:sz="4" w:space="0" w:color="auto"/>
              <w:right w:val="nil"/>
            </w:tcBorders>
          </w:tcPr>
          <w:p w:rsidR="009A3AFE" w:rsidRDefault="009A3AFE" w:rsidP="009A3AFE"/>
        </w:tc>
        <w:tc>
          <w:tcPr>
            <w:tcW w:w="1276" w:type="dxa"/>
            <w:tcBorders>
              <w:top w:val="single" w:sz="4" w:space="0" w:color="auto"/>
              <w:left w:val="nil"/>
              <w:bottom w:val="single" w:sz="4" w:space="0" w:color="auto"/>
              <w:right w:val="nil"/>
            </w:tcBorders>
          </w:tcPr>
          <w:p w:rsidR="009A3AFE" w:rsidRDefault="009A3AFE" w:rsidP="009A3AFE"/>
        </w:tc>
        <w:tc>
          <w:tcPr>
            <w:tcW w:w="1410" w:type="dxa"/>
            <w:tcBorders>
              <w:top w:val="single" w:sz="4" w:space="0" w:color="auto"/>
              <w:left w:val="nil"/>
              <w:bottom w:val="single" w:sz="4" w:space="0" w:color="auto"/>
              <w:right w:val="nil"/>
            </w:tcBorders>
          </w:tcPr>
          <w:p w:rsidR="009A3AFE" w:rsidRDefault="009A3AFE" w:rsidP="009A3AFE"/>
        </w:tc>
      </w:tr>
      <w:tr w:rsidR="009A3AFE" w:rsidTr="009A3AFE">
        <w:tc>
          <w:tcPr>
            <w:tcW w:w="4350" w:type="dxa"/>
            <w:tcBorders>
              <w:top w:val="single" w:sz="4" w:space="0" w:color="auto"/>
              <w:left w:val="nil"/>
              <w:bottom w:val="single" w:sz="4" w:space="0" w:color="auto"/>
              <w:right w:val="nil"/>
            </w:tcBorders>
          </w:tcPr>
          <w:p w:rsidR="009A3AFE" w:rsidRDefault="009A3AFE" w:rsidP="009A3AFE">
            <w:r>
              <w:t xml:space="preserve">UK bonds </w:t>
            </w:r>
          </w:p>
        </w:tc>
        <w:tc>
          <w:tcPr>
            <w:tcW w:w="1816" w:type="dxa"/>
            <w:tcBorders>
              <w:top w:val="single" w:sz="4" w:space="0" w:color="auto"/>
              <w:left w:val="nil"/>
              <w:bottom w:val="single" w:sz="4" w:space="0" w:color="auto"/>
              <w:right w:val="nil"/>
            </w:tcBorders>
          </w:tcPr>
          <w:p w:rsidR="009A3AFE" w:rsidRDefault="009A3AFE" w:rsidP="009A3AFE">
            <w:pPr>
              <w:jc w:val="right"/>
            </w:pPr>
            <w:r>
              <w:t>695.7</w:t>
            </w:r>
          </w:p>
        </w:tc>
        <w:tc>
          <w:tcPr>
            <w:tcW w:w="1444" w:type="dxa"/>
            <w:tcBorders>
              <w:top w:val="single" w:sz="4" w:space="0" w:color="auto"/>
              <w:left w:val="nil"/>
              <w:bottom w:val="single" w:sz="4" w:space="0" w:color="auto"/>
              <w:right w:val="nil"/>
            </w:tcBorders>
          </w:tcPr>
          <w:p w:rsidR="009A3AFE" w:rsidRDefault="009A3AFE" w:rsidP="009A3AFE">
            <w:pPr>
              <w:jc w:val="right"/>
            </w:pPr>
            <w:r>
              <w:t>5.7%</w:t>
            </w:r>
          </w:p>
        </w:tc>
        <w:tc>
          <w:tcPr>
            <w:tcW w:w="1276" w:type="dxa"/>
            <w:tcBorders>
              <w:top w:val="single" w:sz="4" w:space="0" w:color="auto"/>
              <w:left w:val="nil"/>
              <w:bottom w:val="single" w:sz="4" w:space="0" w:color="auto"/>
              <w:right w:val="nil"/>
            </w:tcBorders>
          </w:tcPr>
          <w:p w:rsidR="009A3AFE" w:rsidRDefault="009A3AFE" w:rsidP="009A3AFE">
            <w:pPr>
              <w:jc w:val="right"/>
            </w:pPr>
            <w:r>
              <w:t>735.3</w:t>
            </w:r>
          </w:p>
        </w:tc>
        <w:tc>
          <w:tcPr>
            <w:tcW w:w="1410" w:type="dxa"/>
            <w:tcBorders>
              <w:top w:val="single" w:sz="4" w:space="0" w:color="auto"/>
              <w:left w:val="nil"/>
              <w:bottom w:val="single" w:sz="4" w:space="0" w:color="auto"/>
              <w:right w:val="nil"/>
            </w:tcBorders>
          </w:tcPr>
          <w:p w:rsidR="009A3AFE" w:rsidRDefault="009A3AFE" w:rsidP="009A3AFE">
            <w:pPr>
              <w:jc w:val="right"/>
            </w:pPr>
            <w:r>
              <w:t>656.1</w:t>
            </w:r>
          </w:p>
        </w:tc>
      </w:tr>
      <w:tr w:rsidR="009A3AFE" w:rsidTr="009A3AFE">
        <w:tc>
          <w:tcPr>
            <w:tcW w:w="4350" w:type="dxa"/>
            <w:tcBorders>
              <w:top w:val="single" w:sz="4" w:space="0" w:color="auto"/>
              <w:left w:val="nil"/>
              <w:bottom w:val="single" w:sz="4" w:space="0" w:color="auto"/>
              <w:right w:val="nil"/>
            </w:tcBorders>
          </w:tcPr>
          <w:p w:rsidR="009A3AFE" w:rsidRDefault="009A3AFE" w:rsidP="009A3AFE">
            <w:r>
              <w:t>Overseas bonds</w:t>
            </w:r>
          </w:p>
        </w:tc>
        <w:tc>
          <w:tcPr>
            <w:tcW w:w="1816" w:type="dxa"/>
            <w:tcBorders>
              <w:top w:val="single" w:sz="4" w:space="0" w:color="auto"/>
              <w:left w:val="nil"/>
              <w:bottom w:val="single" w:sz="4" w:space="0" w:color="auto"/>
              <w:right w:val="nil"/>
            </w:tcBorders>
          </w:tcPr>
          <w:p w:rsidR="009A3AFE" w:rsidRDefault="009A3AFE" w:rsidP="009A3AFE">
            <w:pPr>
              <w:jc w:val="right"/>
            </w:pPr>
            <w:r>
              <w:t>100.0</w:t>
            </w:r>
          </w:p>
        </w:tc>
        <w:tc>
          <w:tcPr>
            <w:tcW w:w="1444" w:type="dxa"/>
            <w:tcBorders>
              <w:top w:val="single" w:sz="4" w:space="0" w:color="auto"/>
              <w:left w:val="nil"/>
              <w:bottom w:val="single" w:sz="4" w:space="0" w:color="auto"/>
              <w:right w:val="nil"/>
            </w:tcBorders>
          </w:tcPr>
          <w:p w:rsidR="009A3AFE" w:rsidRDefault="009A3AFE" w:rsidP="009A3AFE">
            <w:pPr>
              <w:jc w:val="right"/>
            </w:pPr>
            <w:r>
              <w:t>11.8%</w:t>
            </w:r>
          </w:p>
        </w:tc>
        <w:tc>
          <w:tcPr>
            <w:tcW w:w="1276" w:type="dxa"/>
            <w:tcBorders>
              <w:top w:val="single" w:sz="4" w:space="0" w:color="auto"/>
              <w:left w:val="nil"/>
              <w:bottom w:val="single" w:sz="4" w:space="0" w:color="auto"/>
              <w:right w:val="nil"/>
            </w:tcBorders>
          </w:tcPr>
          <w:p w:rsidR="009A3AFE" w:rsidRDefault="009A3AFE" w:rsidP="009A3AFE">
            <w:pPr>
              <w:jc w:val="right"/>
            </w:pPr>
            <w:r>
              <w:t>111.8</w:t>
            </w:r>
          </w:p>
        </w:tc>
        <w:tc>
          <w:tcPr>
            <w:tcW w:w="1410" w:type="dxa"/>
            <w:tcBorders>
              <w:top w:val="single" w:sz="4" w:space="0" w:color="auto"/>
              <w:left w:val="nil"/>
              <w:bottom w:val="single" w:sz="4" w:space="0" w:color="auto"/>
              <w:right w:val="nil"/>
            </w:tcBorders>
          </w:tcPr>
          <w:p w:rsidR="009A3AFE" w:rsidRDefault="009A3AFE" w:rsidP="009A3AFE">
            <w:pPr>
              <w:jc w:val="right"/>
            </w:pPr>
            <w:r>
              <w:t>88.2</w:t>
            </w:r>
          </w:p>
        </w:tc>
      </w:tr>
      <w:tr w:rsidR="009A3AFE" w:rsidTr="009A3AFE">
        <w:tc>
          <w:tcPr>
            <w:tcW w:w="4350" w:type="dxa"/>
            <w:tcBorders>
              <w:top w:val="single" w:sz="4" w:space="0" w:color="auto"/>
              <w:left w:val="nil"/>
              <w:bottom w:val="single" w:sz="4" w:space="0" w:color="auto"/>
              <w:right w:val="nil"/>
            </w:tcBorders>
          </w:tcPr>
          <w:p w:rsidR="009A3AFE" w:rsidRDefault="009A3AFE" w:rsidP="009A3AFE">
            <w:r>
              <w:t xml:space="preserve">UK equities </w:t>
            </w:r>
          </w:p>
        </w:tc>
        <w:tc>
          <w:tcPr>
            <w:tcW w:w="1816" w:type="dxa"/>
            <w:tcBorders>
              <w:top w:val="single" w:sz="4" w:space="0" w:color="auto"/>
              <w:left w:val="nil"/>
              <w:bottom w:val="single" w:sz="4" w:space="0" w:color="auto"/>
              <w:right w:val="nil"/>
            </w:tcBorders>
          </w:tcPr>
          <w:p w:rsidR="009A3AFE" w:rsidRDefault="009A3AFE" w:rsidP="009A3AFE">
            <w:pPr>
              <w:jc w:val="right"/>
            </w:pPr>
            <w:r>
              <w:t>1341.4</w:t>
            </w:r>
          </w:p>
        </w:tc>
        <w:tc>
          <w:tcPr>
            <w:tcW w:w="1444" w:type="dxa"/>
            <w:tcBorders>
              <w:top w:val="single" w:sz="4" w:space="0" w:color="auto"/>
              <w:left w:val="nil"/>
              <w:bottom w:val="single" w:sz="4" w:space="0" w:color="auto"/>
              <w:right w:val="nil"/>
            </w:tcBorders>
          </w:tcPr>
          <w:p w:rsidR="009A3AFE" w:rsidRDefault="009A3AFE" w:rsidP="009A3AFE">
            <w:pPr>
              <w:jc w:val="right"/>
            </w:pPr>
            <w:r>
              <w:t>15.3%</w:t>
            </w:r>
          </w:p>
        </w:tc>
        <w:tc>
          <w:tcPr>
            <w:tcW w:w="1276" w:type="dxa"/>
            <w:tcBorders>
              <w:top w:val="single" w:sz="4" w:space="0" w:color="auto"/>
              <w:left w:val="nil"/>
              <w:bottom w:val="single" w:sz="4" w:space="0" w:color="auto"/>
              <w:right w:val="nil"/>
            </w:tcBorders>
          </w:tcPr>
          <w:p w:rsidR="009A3AFE" w:rsidRDefault="009A3AFE" w:rsidP="009A3AFE">
            <w:pPr>
              <w:jc w:val="right"/>
            </w:pPr>
            <w:r>
              <w:t>1547.3</w:t>
            </w:r>
          </w:p>
        </w:tc>
        <w:tc>
          <w:tcPr>
            <w:tcW w:w="1410" w:type="dxa"/>
            <w:tcBorders>
              <w:top w:val="single" w:sz="4" w:space="0" w:color="auto"/>
              <w:left w:val="nil"/>
              <w:bottom w:val="single" w:sz="4" w:space="0" w:color="auto"/>
              <w:right w:val="nil"/>
            </w:tcBorders>
          </w:tcPr>
          <w:p w:rsidR="009A3AFE" w:rsidRDefault="009A3AFE" w:rsidP="009A3AFE">
            <w:pPr>
              <w:jc w:val="right"/>
            </w:pPr>
            <w:r>
              <w:t>1135.6</w:t>
            </w:r>
          </w:p>
        </w:tc>
      </w:tr>
      <w:tr w:rsidR="009A3AFE" w:rsidTr="009A3AFE">
        <w:tc>
          <w:tcPr>
            <w:tcW w:w="4350" w:type="dxa"/>
            <w:tcBorders>
              <w:top w:val="single" w:sz="4" w:space="0" w:color="auto"/>
              <w:left w:val="nil"/>
              <w:bottom w:val="single" w:sz="4" w:space="0" w:color="auto"/>
              <w:right w:val="nil"/>
            </w:tcBorders>
          </w:tcPr>
          <w:p w:rsidR="009A3AFE" w:rsidRDefault="009A3AFE" w:rsidP="009A3AFE">
            <w:r>
              <w:t>Overseas equities</w:t>
            </w:r>
          </w:p>
        </w:tc>
        <w:tc>
          <w:tcPr>
            <w:tcW w:w="1816" w:type="dxa"/>
            <w:tcBorders>
              <w:top w:val="single" w:sz="4" w:space="0" w:color="auto"/>
              <w:left w:val="nil"/>
              <w:bottom w:val="single" w:sz="4" w:space="0" w:color="auto"/>
              <w:right w:val="nil"/>
            </w:tcBorders>
          </w:tcPr>
          <w:p w:rsidR="009A3AFE" w:rsidRDefault="009A3AFE" w:rsidP="009A3AFE">
            <w:pPr>
              <w:jc w:val="right"/>
            </w:pPr>
            <w:r>
              <w:t>1236.9</w:t>
            </w:r>
          </w:p>
        </w:tc>
        <w:tc>
          <w:tcPr>
            <w:tcW w:w="1444" w:type="dxa"/>
            <w:tcBorders>
              <w:top w:val="single" w:sz="4" w:space="0" w:color="auto"/>
              <w:left w:val="nil"/>
              <w:bottom w:val="single" w:sz="4" w:space="0" w:color="auto"/>
              <w:right w:val="nil"/>
            </w:tcBorders>
          </w:tcPr>
          <w:p w:rsidR="009A3AFE" w:rsidRDefault="009A3AFE" w:rsidP="009A3AFE">
            <w:pPr>
              <w:jc w:val="right"/>
            </w:pPr>
            <w:r>
              <w:t>14.8%</w:t>
            </w:r>
          </w:p>
        </w:tc>
        <w:tc>
          <w:tcPr>
            <w:tcW w:w="1276" w:type="dxa"/>
            <w:tcBorders>
              <w:top w:val="single" w:sz="4" w:space="0" w:color="auto"/>
              <w:left w:val="nil"/>
              <w:bottom w:val="single" w:sz="4" w:space="0" w:color="auto"/>
              <w:right w:val="nil"/>
            </w:tcBorders>
          </w:tcPr>
          <w:p w:rsidR="009A3AFE" w:rsidRDefault="009A3AFE" w:rsidP="009A3AFE">
            <w:pPr>
              <w:jc w:val="right"/>
            </w:pPr>
            <w:r>
              <w:t>1420.3</w:t>
            </w:r>
          </w:p>
        </w:tc>
        <w:tc>
          <w:tcPr>
            <w:tcW w:w="1410" w:type="dxa"/>
            <w:tcBorders>
              <w:top w:val="single" w:sz="4" w:space="0" w:color="auto"/>
              <w:left w:val="nil"/>
              <w:bottom w:val="single" w:sz="4" w:space="0" w:color="auto"/>
              <w:right w:val="nil"/>
            </w:tcBorders>
          </w:tcPr>
          <w:p w:rsidR="009A3AFE" w:rsidRDefault="009A3AFE" w:rsidP="009A3AFE">
            <w:pPr>
              <w:jc w:val="right"/>
            </w:pPr>
            <w:r>
              <w:t>1053.5</w:t>
            </w:r>
          </w:p>
        </w:tc>
      </w:tr>
      <w:tr w:rsidR="009A3AFE" w:rsidTr="009A3AFE">
        <w:tc>
          <w:tcPr>
            <w:tcW w:w="4350" w:type="dxa"/>
            <w:tcBorders>
              <w:top w:val="single" w:sz="4" w:space="0" w:color="auto"/>
              <w:left w:val="nil"/>
              <w:bottom w:val="nil"/>
              <w:right w:val="nil"/>
            </w:tcBorders>
          </w:tcPr>
          <w:p w:rsidR="009A3AFE" w:rsidRDefault="009A3AFE" w:rsidP="009A3AFE">
            <w:r>
              <w:t>Index linked gilts</w:t>
            </w:r>
          </w:p>
        </w:tc>
        <w:tc>
          <w:tcPr>
            <w:tcW w:w="1816" w:type="dxa"/>
            <w:tcBorders>
              <w:top w:val="single" w:sz="4" w:space="0" w:color="auto"/>
              <w:left w:val="nil"/>
              <w:bottom w:val="nil"/>
              <w:right w:val="nil"/>
            </w:tcBorders>
          </w:tcPr>
          <w:p w:rsidR="009A3AFE" w:rsidRDefault="009A3AFE" w:rsidP="009A3AFE">
            <w:pPr>
              <w:jc w:val="right"/>
            </w:pPr>
            <w:r>
              <w:t>166.9</w:t>
            </w:r>
          </w:p>
        </w:tc>
        <w:tc>
          <w:tcPr>
            <w:tcW w:w="1444" w:type="dxa"/>
            <w:tcBorders>
              <w:top w:val="single" w:sz="4" w:space="0" w:color="auto"/>
              <w:left w:val="nil"/>
              <w:bottom w:val="nil"/>
              <w:right w:val="nil"/>
            </w:tcBorders>
          </w:tcPr>
          <w:p w:rsidR="009A3AFE" w:rsidRDefault="009A3AFE" w:rsidP="009A3AFE">
            <w:pPr>
              <w:jc w:val="right"/>
            </w:pPr>
            <w:r>
              <w:t>7.6%</w:t>
            </w:r>
          </w:p>
        </w:tc>
        <w:tc>
          <w:tcPr>
            <w:tcW w:w="1276" w:type="dxa"/>
            <w:tcBorders>
              <w:top w:val="single" w:sz="4" w:space="0" w:color="auto"/>
              <w:left w:val="nil"/>
              <w:bottom w:val="nil"/>
              <w:right w:val="nil"/>
            </w:tcBorders>
          </w:tcPr>
          <w:p w:rsidR="009A3AFE" w:rsidRDefault="009A3AFE" w:rsidP="009A3AFE">
            <w:pPr>
              <w:jc w:val="right"/>
            </w:pPr>
            <w:r>
              <w:t>179.6</w:t>
            </w:r>
          </w:p>
        </w:tc>
        <w:tc>
          <w:tcPr>
            <w:tcW w:w="1410" w:type="dxa"/>
            <w:tcBorders>
              <w:top w:val="single" w:sz="4" w:space="0" w:color="auto"/>
              <w:left w:val="nil"/>
              <w:bottom w:val="nil"/>
              <w:right w:val="nil"/>
            </w:tcBorders>
          </w:tcPr>
          <w:p w:rsidR="009A3AFE" w:rsidRDefault="009A3AFE" w:rsidP="009A3AFE">
            <w:pPr>
              <w:jc w:val="right"/>
            </w:pPr>
            <w:r>
              <w:t>154.2</w:t>
            </w:r>
          </w:p>
        </w:tc>
      </w:tr>
      <w:tr w:rsidR="009A3AFE" w:rsidTr="009A3AFE">
        <w:tc>
          <w:tcPr>
            <w:tcW w:w="4350" w:type="dxa"/>
            <w:tcBorders>
              <w:top w:val="single" w:sz="4" w:space="0" w:color="auto"/>
              <w:left w:val="nil"/>
              <w:bottom w:val="single" w:sz="4" w:space="0" w:color="auto"/>
              <w:right w:val="nil"/>
            </w:tcBorders>
          </w:tcPr>
          <w:p w:rsidR="009A3AFE" w:rsidRDefault="009A3AFE" w:rsidP="009A3AFE">
            <w:r>
              <w:t>Cash</w:t>
            </w:r>
          </w:p>
        </w:tc>
        <w:tc>
          <w:tcPr>
            <w:tcW w:w="1816" w:type="dxa"/>
            <w:tcBorders>
              <w:top w:val="single" w:sz="4" w:space="0" w:color="auto"/>
              <w:left w:val="nil"/>
              <w:bottom w:val="single" w:sz="4" w:space="0" w:color="auto"/>
              <w:right w:val="nil"/>
            </w:tcBorders>
          </w:tcPr>
          <w:p w:rsidR="009A3AFE" w:rsidRDefault="009A3AFE" w:rsidP="009A3AFE">
            <w:pPr>
              <w:jc w:val="right"/>
            </w:pPr>
            <w:r>
              <w:t>147.9</w:t>
            </w:r>
          </w:p>
        </w:tc>
        <w:tc>
          <w:tcPr>
            <w:tcW w:w="1444" w:type="dxa"/>
            <w:tcBorders>
              <w:top w:val="single" w:sz="4" w:space="0" w:color="auto"/>
              <w:left w:val="nil"/>
              <w:bottom w:val="single" w:sz="4" w:space="0" w:color="auto"/>
              <w:right w:val="nil"/>
            </w:tcBorders>
          </w:tcPr>
          <w:p w:rsidR="009A3AFE" w:rsidRDefault="009A3AFE" w:rsidP="009A3AFE">
            <w:pPr>
              <w:jc w:val="right"/>
            </w:pPr>
            <w:r>
              <w:t>0.0%</w:t>
            </w:r>
          </w:p>
        </w:tc>
        <w:tc>
          <w:tcPr>
            <w:tcW w:w="1276" w:type="dxa"/>
            <w:tcBorders>
              <w:top w:val="single" w:sz="4" w:space="0" w:color="auto"/>
              <w:left w:val="nil"/>
              <w:bottom w:val="single" w:sz="4" w:space="0" w:color="auto"/>
              <w:right w:val="nil"/>
            </w:tcBorders>
          </w:tcPr>
          <w:p w:rsidR="009A3AFE" w:rsidRDefault="009A3AFE" w:rsidP="009A3AFE">
            <w:pPr>
              <w:jc w:val="right"/>
            </w:pPr>
            <w:r>
              <w:t>147.9</w:t>
            </w:r>
          </w:p>
        </w:tc>
        <w:tc>
          <w:tcPr>
            <w:tcW w:w="1410" w:type="dxa"/>
            <w:tcBorders>
              <w:top w:val="single" w:sz="4" w:space="0" w:color="auto"/>
              <w:left w:val="nil"/>
              <w:bottom w:val="single" w:sz="4" w:space="0" w:color="auto"/>
              <w:right w:val="nil"/>
            </w:tcBorders>
          </w:tcPr>
          <w:p w:rsidR="009A3AFE" w:rsidRDefault="009A3AFE" w:rsidP="009A3AFE">
            <w:pPr>
              <w:jc w:val="right"/>
            </w:pPr>
            <w:r>
              <w:t>147.8</w:t>
            </w:r>
          </w:p>
        </w:tc>
      </w:tr>
      <w:tr w:rsidR="009A3AFE" w:rsidTr="009A3AFE">
        <w:tc>
          <w:tcPr>
            <w:tcW w:w="4350" w:type="dxa"/>
            <w:tcBorders>
              <w:top w:val="single" w:sz="4" w:space="0" w:color="auto"/>
              <w:left w:val="nil"/>
              <w:bottom w:val="single" w:sz="4" w:space="0" w:color="auto"/>
              <w:right w:val="nil"/>
            </w:tcBorders>
          </w:tcPr>
          <w:p w:rsidR="009A3AFE" w:rsidRDefault="009A3AFE" w:rsidP="009A3AFE">
            <w:r>
              <w:t xml:space="preserve">Alternatives </w:t>
            </w:r>
          </w:p>
        </w:tc>
        <w:tc>
          <w:tcPr>
            <w:tcW w:w="1816" w:type="dxa"/>
            <w:tcBorders>
              <w:top w:val="single" w:sz="4" w:space="0" w:color="auto"/>
              <w:left w:val="nil"/>
              <w:bottom w:val="single" w:sz="4" w:space="0" w:color="auto"/>
              <w:right w:val="nil"/>
            </w:tcBorders>
          </w:tcPr>
          <w:p w:rsidR="009A3AFE" w:rsidRDefault="009A3AFE" w:rsidP="009A3AFE">
            <w:pPr>
              <w:jc w:val="right"/>
            </w:pPr>
            <w:r>
              <w:t>287.4</w:t>
            </w:r>
          </w:p>
        </w:tc>
        <w:tc>
          <w:tcPr>
            <w:tcW w:w="1444" w:type="dxa"/>
            <w:tcBorders>
              <w:top w:val="single" w:sz="4" w:space="0" w:color="auto"/>
              <w:left w:val="nil"/>
              <w:bottom w:val="single" w:sz="4" w:space="0" w:color="auto"/>
              <w:right w:val="nil"/>
            </w:tcBorders>
          </w:tcPr>
          <w:p w:rsidR="009A3AFE" w:rsidRDefault="009A3AFE" w:rsidP="009A3AFE">
            <w:pPr>
              <w:jc w:val="right"/>
            </w:pPr>
            <w:r>
              <w:t>7.7%</w:t>
            </w:r>
          </w:p>
        </w:tc>
        <w:tc>
          <w:tcPr>
            <w:tcW w:w="1276" w:type="dxa"/>
            <w:tcBorders>
              <w:top w:val="single" w:sz="4" w:space="0" w:color="auto"/>
              <w:left w:val="nil"/>
              <w:bottom w:val="single" w:sz="4" w:space="0" w:color="auto"/>
              <w:right w:val="nil"/>
            </w:tcBorders>
          </w:tcPr>
          <w:p w:rsidR="009A3AFE" w:rsidRDefault="009A3AFE" w:rsidP="009A3AFE">
            <w:pPr>
              <w:jc w:val="right"/>
            </w:pPr>
            <w:r>
              <w:t>309.6</w:t>
            </w:r>
          </w:p>
        </w:tc>
        <w:tc>
          <w:tcPr>
            <w:tcW w:w="1410" w:type="dxa"/>
            <w:tcBorders>
              <w:top w:val="single" w:sz="4" w:space="0" w:color="auto"/>
              <w:left w:val="nil"/>
              <w:bottom w:val="single" w:sz="4" w:space="0" w:color="auto"/>
              <w:right w:val="nil"/>
            </w:tcBorders>
          </w:tcPr>
          <w:p w:rsidR="009A3AFE" w:rsidRDefault="009A3AFE" w:rsidP="009A3AFE">
            <w:pPr>
              <w:jc w:val="right"/>
            </w:pPr>
            <w:r>
              <w:t>265.2</w:t>
            </w:r>
          </w:p>
        </w:tc>
      </w:tr>
      <w:tr w:rsidR="009A3AFE" w:rsidTr="009A3AFE">
        <w:tc>
          <w:tcPr>
            <w:tcW w:w="4350" w:type="dxa"/>
            <w:tcBorders>
              <w:top w:val="single" w:sz="4" w:space="0" w:color="auto"/>
              <w:left w:val="nil"/>
              <w:bottom w:val="single" w:sz="4" w:space="0" w:color="auto"/>
              <w:right w:val="nil"/>
            </w:tcBorders>
          </w:tcPr>
          <w:p w:rsidR="009A3AFE" w:rsidRDefault="009A3AFE" w:rsidP="009A3AFE">
            <w:r>
              <w:t>Property</w:t>
            </w:r>
          </w:p>
        </w:tc>
        <w:tc>
          <w:tcPr>
            <w:tcW w:w="1816" w:type="dxa"/>
            <w:tcBorders>
              <w:top w:val="single" w:sz="4" w:space="0" w:color="auto"/>
              <w:left w:val="nil"/>
              <w:bottom w:val="single" w:sz="4" w:space="0" w:color="auto"/>
              <w:right w:val="nil"/>
            </w:tcBorders>
          </w:tcPr>
          <w:p w:rsidR="009A3AFE" w:rsidRDefault="009A3AFE" w:rsidP="009A3AFE">
            <w:pPr>
              <w:jc w:val="right"/>
            </w:pPr>
            <w:r>
              <w:t>383.8</w:t>
            </w:r>
          </w:p>
        </w:tc>
        <w:tc>
          <w:tcPr>
            <w:tcW w:w="1444" w:type="dxa"/>
            <w:tcBorders>
              <w:top w:val="single" w:sz="4" w:space="0" w:color="auto"/>
              <w:left w:val="nil"/>
              <w:bottom w:val="single" w:sz="4" w:space="0" w:color="auto"/>
              <w:right w:val="nil"/>
            </w:tcBorders>
          </w:tcPr>
          <w:p w:rsidR="009A3AFE" w:rsidRDefault="009A3AFE" w:rsidP="009A3AFE">
            <w:pPr>
              <w:jc w:val="right"/>
            </w:pPr>
            <w:r>
              <w:t>9.4%</w:t>
            </w:r>
          </w:p>
        </w:tc>
        <w:tc>
          <w:tcPr>
            <w:tcW w:w="1276" w:type="dxa"/>
            <w:tcBorders>
              <w:top w:val="single" w:sz="4" w:space="0" w:color="auto"/>
              <w:left w:val="nil"/>
              <w:bottom w:val="single" w:sz="4" w:space="0" w:color="auto"/>
              <w:right w:val="nil"/>
            </w:tcBorders>
          </w:tcPr>
          <w:p w:rsidR="009A3AFE" w:rsidRDefault="009A3AFE" w:rsidP="009A3AFE">
            <w:pPr>
              <w:jc w:val="right"/>
            </w:pPr>
            <w:r>
              <w:t>419.7</w:t>
            </w:r>
          </w:p>
        </w:tc>
        <w:tc>
          <w:tcPr>
            <w:tcW w:w="1410" w:type="dxa"/>
            <w:tcBorders>
              <w:top w:val="single" w:sz="4" w:space="0" w:color="auto"/>
              <w:left w:val="nil"/>
              <w:bottom w:val="single" w:sz="4" w:space="0" w:color="auto"/>
              <w:right w:val="nil"/>
            </w:tcBorders>
          </w:tcPr>
          <w:p w:rsidR="009A3AFE" w:rsidRDefault="009A3AFE" w:rsidP="009A3AFE">
            <w:pPr>
              <w:jc w:val="right"/>
            </w:pPr>
            <w:r>
              <w:t>347.9</w:t>
            </w:r>
          </w:p>
        </w:tc>
      </w:tr>
      <w:tr w:rsidR="009A3AFE" w:rsidTr="009A3AFE">
        <w:tc>
          <w:tcPr>
            <w:tcW w:w="4350" w:type="dxa"/>
            <w:tcBorders>
              <w:top w:val="single" w:sz="4" w:space="0" w:color="auto"/>
              <w:left w:val="nil"/>
              <w:bottom w:val="single" w:sz="4" w:space="0" w:color="auto"/>
              <w:right w:val="nil"/>
            </w:tcBorders>
          </w:tcPr>
          <w:p w:rsidR="009A3AFE" w:rsidRPr="007D6045" w:rsidRDefault="009A3AFE" w:rsidP="009A3AFE">
            <w:pPr>
              <w:rPr>
                <w:b/>
              </w:rPr>
            </w:pPr>
            <w:r>
              <w:rPr>
                <w:b/>
              </w:rPr>
              <w:t xml:space="preserve">Total asset available to pay benefits </w:t>
            </w:r>
          </w:p>
        </w:tc>
        <w:tc>
          <w:tcPr>
            <w:tcW w:w="1816" w:type="dxa"/>
            <w:tcBorders>
              <w:top w:val="single" w:sz="4" w:space="0" w:color="auto"/>
              <w:left w:val="nil"/>
              <w:bottom w:val="single" w:sz="4" w:space="0" w:color="auto"/>
              <w:right w:val="nil"/>
            </w:tcBorders>
          </w:tcPr>
          <w:p w:rsidR="009A3AFE" w:rsidRDefault="009A3AFE" w:rsidP="007F5E6A">
            <w:pPr>
              <w:jc w:val="right"/>
            </w:pPr>
            <w:r>
              <w:t>4360.</w:t>
            </w:r>
            <w:r w:rsidR="007F5E6A">
              <w:t>0</w:t>
            </w:r>
          </w:p>
        </w:tc>
        <w:tc>
          <w:tcPr>
            <w:tcW w:w="1444" w:type="dxa"/>
            <w:tcBorders>
              <w:top w:val="single" w:sz="4" w:space="0" w:color="auto"/>
              <w:left w:val="nil"/>
              <w:bottom w:val="single" w:sz="4" w:space="0" w:color="auto"/>
              <w:right w:val="nil"/>
            </w:tcBorders>
          </w:tcPr>
          <w:p w:rsidR="009A3AFE" w:rsidRDefault="009A3AFE" w:rsidP="009A3AFE"/>
        </w:tc>
        <w:tc>
          <w:tcPr>
            <w:tcW w:w="1276" w:type="dxa"/>
            <w:tcBorders>
              <w:top w:val="single" w:sz="4" w:space="0" w:color="auto"/>
              <w:left w:val="nil"/>
              <w:bottom w:val="single" w:sz="4" w:space="0" w:color="auto"/>
              <w:right w:val="nil"/>
            </w:tcBorders>
          </w:tcPr>
          <w:p w:rsidR="009A3AFE" w:rsidRDefault="009A3AFE" w:rsidP="007F5E6A">
            <w:pPr>
              <w:jc w:val="right"/>
            </w:pPr>
            <w:r>
              <w:t>4871.</w:t>
            </w:r>
            <w:r w:rsidR="007F5E6A">
              <w:t>5</w:t>
            </w:r>
          </w:p>
        </w:tc>
        <w:tc>
          <w:tcPr>
            <w:tcW w:w="1410" w:type="dxa"/>
            <w:tcBorders>
              <w:top w:val="single" w:sz="4" w:space="0" w:color="auto"/>
              <w:left w:val="nil"/>
              <w:bottom w:val="single" w:sz="4" w:space="0" w:color="auto"/>
              <w:right w:val="nil"/>
            </w:tcBorders>
          </w:tcPr>
          <w:p w:rsidR="009A3AFE" w:rsidRDefault="009A3AFE" w:rsidP="007F5E6A">
            <w:pPr>
              <w:jc w:val="right"/>
            </w:pPr>
            <w:r>
              <w:t>3848.</w:t>
            </w:r>
            <w:r w:rsidR="007F5E6A">
              <w:t>5</w:t>
            </w:r>
          </w:p>
        </w:tc>
      </w:tr>
    </w:tbl>
    <w:p w:rsidR="009A3AFE" w:rsidRDefault="009A3AFE" w:rsidP="009A3AFE">
      <w:pPr>
        <w:ind w:left="720"/>
      </w:pPr>
    </w:p>
    <w:p w:rsidR="00F332F8" w:rsidRDefault="00F332F8" w:rsidP="009A3AFE">
      <w:pPr>
        <w:ind w:left="720"/>
      </w:pPr>
    </w:p>
    <w:p w:rsidR="00F332F8" w:rsidRDefault="00F332F8" w:rsidP="009A3AFE">
      <w:pPr>
        <w:ind w:left="720"/>
      </w:pPr>
    </w:p>
    <w:p w:rsidR="00F332F8" w:rsidRDefault="00F332F8" w:rsidP="009A3AFE">
      <w:pPr>
        <w:ind w:left="720"/>
      </w:pPr>
    </w:p>
    <w:p w:rsidR="00F332F8" w:rsidRDefault="00F332F8" w:rsidP="009A3AFE">
      <w:pPr>
        <w:ind w:left="720"/>
      </w:pPr>
    </w:p>
    <w:p w:rsidR="009A3AFE" w:rsidRDefault="009A3AFE" w:rsidP="009A3AFE">
      <w:pPr>
        <w:ind w:left="720"/>
      </w:pPr>
    </w:p>
    <w:tbl>
      <w:tblPr>
        <w:tblStyle w:val="TableGrid"/>
        <w:tblW w:w="0" w:type="auto"/>
        <w:tblInd w:w="720" w:type="dxa"/>
        <w:tblLook w:val="04A0"/>
      </w:tblPr>
      <w:tblGrid>
        <w:gridCol w:w="3564"/>
        <w:gridCol w:w="1575"/>
        <w:gridCol w:w="1444"/>
        <w:gridCol w:w="1237"/>
        <w:gridCol w:w="1364"/>
      </w:tblGrid>
      <w:tr w:rsidR="009A3AFE" w:rsidTr="009A3AFE">
        <w:tc>
          <w:tcPr>
            <w:tcW w:w="4350" w:type="dxa"/>
            <w:tcBorders>
              <w:top w:val="single" w:sz="4" w:space="0" w:color="auto"/>
              <w:left w:val="nil"/>
              <w:bottom w:val="single" w:sz="4" w:space="0" w:color="auto"/>
              <w:right w:val="nil"/>
            </w:tcBorders>
          </w:tcPr>
          <w:p w:rsidR="009A3AFE" w:rsidRDefault="009A3AFE" w:rsidP="009A3AFE">
            <w:r>
              <w:t>Asset Type</w:t>
            </w:r>
          </w:p>
        </w:tc>
        <w:tc>
          <w:tcPr>
            <w:tcW w:w="1816" w:type="dxa"/>
            <w:tcBorders>
              <w:top w:val="single" w:sz="4" w:space="0" w:color="auto"/>
              <w:left w:val="nil"/>
              <w:bottom w:val="single" w:sz="4" w:space="0" w:color="auto"/>
              <w:right w:val="nil"/>
            </w:tcBorders>
          </w:tcPr>
          <w:p w:rsidR="009A3AFE" w:rsidRDefault="009A3AFE" w:rsidP="009A3AFE">
            <w:pPr>
              <w:jc w:val="right"/>
            </w:pPr>
            <w:r>
              <w:t>Value as at 31</w:t>
            </w:r>
          </w:p>
          <w:p w:rsidR="009A3AFE" w:rsidRDefault="009A3AFE" w:rsidP="009A3AFE">
            <w:pPr>
              <w:jc w:val="right"/>
            </w:pPr>
            <w:r>
              <w:t>March 2011</w:t>
            </w:r>
          </w:p>
        </w:tc>
        <w:tc>
          <w:tcPr>
            <w:tcW w:w="1444" w:type="dxa"/>
            <w:tcBorders>
              <w:top w:val="single" w:sz="4" w:space="0" w:color="auto"/>
              <w:left w:val="nil"/>
              <w:bottom w:val="single" w:sz="4" w:space="0" w:color="auto"/>
              <w:right w:val="nil"/>
            </w:tcBorders>
          </w:tcPr>
          <w:p w:rsidR="009A3AFE" w:rsidRDefault="009A3AFE" w:rsidP="009A3AFE">
            <w:pPr>
              <w:jc w:val="right"/>
            </w:pPr>
            <w:r>
              <w:t xml:space="preserve">Percentage Change </w:t>
            </w:r>
          </w:p>
        </w:tc>
        <w:tc>
          <w:tcPr>
            <w:tcW w:w="1276" w:type="dxa"/>
            <w:tcBorders>
              <w:top w:val="single" w:sz="4" w:space="0" w:color="auto"/>
              <w:left w:val="nil"/>
              <w:bottom w:val="single" w:sz="4" w:space="0" w:color="auto"/>
              <w:right w:val="nil"/>
            </w:tcBorders>
          </w:tcPr>
          <w:p w:rsidR="009A3AFE" w:rsidRDefault="009A3AFE" w:rsidP="009A3AFE">
            <w:pPr>
              <w:jc w:val="right"/>
            </w:pPr>
            <w:r>
              <w:t xml:space="preserve">Value on Increase </w:t>
            </w:r>
          </w:p>
        </w:tc>
        <w:tc>
          <w:tcPr>
            <w:tcW w:w="1410" w:type="dxa"/>
            <w:tcBorders>
              <w:top w:val="single" w:sz="4" w:space="0" w:color="auto"/>
              <w:left w:val="nil"/>
              <w:bottom w:val="single" w:sz="4" w:space="0" w:color="auto"/>
              <w:right w:val="nil"/>
            </w:tcBorders>
          </w:tcPr>
          <w:p w:rsidR="009A3AFE" w:rsidRDefault="009A3AFE" w:rsidP="009A3AFE">
            <w:pPr>
              <w:jc w:val="right"/>
            </w:pPr>
            <w:r>
              <w:t xml:space="preserve">Value on </w:t>
            </w:r>
          </w:p>
          <w:p w:rsidR="009A3AFE" w:rsidRDefault="009A3AFE" w:rsidP="009A3AFE">
            <w:pPr>
              <w:jc w:val="right"/>
            </w:pPr>
            <w:r>
              <w:t xml:space="preserve">Decrease </w:t>
            </w:r>
          </w:p>
        </w:tc>
      </w:tr>
      <w:tr w:rsidR="009A3AFE" w:rsidTr="009A3AFE">
        <w:tc>
          <w:tcPr>
            <w:tcW w:w="4350" w:type="dxa"/>
            <w:tcBorders>
              <w:top w:val="single" w:sz="4" w:space="0" w:color="auto"/>
              <w:left w:val="nil"/>
              <w:bottom w:val="single" w:sz="4" w:space="0" w:color="auto"/>
              <w:right w:val="nil"/>
            </w:tcBorders>
          </w:tcPr>
          <w:p w:rsidR="009A3AFE" w:rsidRDefault="009A3AFE" w:rsidP="009A3AFE">
            <w:pPr>
              <w:rPr>
                <w:b/>
              </w:rPr>
            </w:pPr>
          </w:p>
        </w:tc>
        <w:tc>
          <w:tcPr>
            <w:tcW w:w="1816" w:type="dxa"/>
            <w:tcBorders>
              <w:top w:val="single" w:sz="4" w:space="0" w:color="auto"/>
              <w:left w:val="nil"/>
              <w:bottom w:val="single" w:sz="4" w:space="0" w:color="auto"/>
              <w:right w:val="nil"/>
            </w:tcBorders>
          </w:tcPr>
          <w:p w:rsidR="009A3AFE" w:rsidRDefault="009A3AFE" w:rsidP="009A3AFE">
            <w:pPr>
              <w:jc w:val="right"/>
            </w:pPr>
            <w:r>
              <w:t>£m</w:t>
            </w:r>
          </w:p>
        </w:tc>
        <w:tc>
          <w:tcPr>
            <w:tcW w:w="1444" w:type="dxa"/>
            <w:tcBorders>
              <w:top w:val="single" w:sz="4" w:space="0" w:color="auto"/>
              <w:left w:val="nil"/>
              <w:bottom w:val="single" w:sz="4" w:space="0" w:color="auto"/>
              <w:right w:val="nil"/>
            </w:tcBorders>
          </w:tcPr>
          <w:p w:rsidR="009A3AFE" w:rsidRDefault="009A3AFE" w:rsidP="009A3AFE">
            <w:pPr>
              <w:jc w:val="right"/>
            </w:pPr>
            <w:r>
              <w:t>%</w:t>
            </w:r>
          </w:p>
        </w:tc>
        <w:tc>
          <w:tcPr>
            <w:tcW w:w="1276" w:type="dxa"/>
            <w:tcBorders>
              <w:top w:val="single" w:sz="4" w:space="0" w:color="auto"/>
              <w:left w:val="nil"/>
              <w:bottom w:val="single" w:sz="4" w:space="0" w:color="auto"/>
              <w:right w:val="nil"/>
            </w:tcBorders>
          </w:tcPr>
          <w:p w:rsidR="009A3AFE" w:rsidRDefault="009A3AFE" w:rsidP="009A3AFE">
            <w:pPr>
              <w:jc w:val="right"/>
            </w:pPr>
            <w:r>
              <w:t>£m</w:t>
            </w:r>
          </w:p>
        </w:tc>
        <w:tc>
          <w:tcPr>
            <w:tcW w:w="1410" w:type="dxa"/>
            <w:tcBorders>
              <w:top w:val="single" w:sz="4" w:space="0" w:color="auto"/>
              <w:left w:val="nil"/>
              <w:bottom w:val="single" w:sz="4" w:space="0" w:color="auto"/>
              <w:right w:val="nil"/>
            </w:tcBorders>
          </w:tcPr>
          <w:p w:rsidR="009A3AFE" w:rsidRDefault="009A3AFE" w:rsidP="009A3AFE">
            <w:pPr>
              <w:jc w:val="right"/>
            </w:pPr>
            <w:r>
              <w:t xml:space="preserve">£m </w:t>
            </w:r>
          </w:p>
        </w:tc>
      </w:tr>
      <w:tr w:rsidR="009A3AFE" w:rsidTr="009A3AFE">
        <w:tc>
          <w:tcPr>
            <w:tcW w:w="4350" w:type="dxa"/>
            <w:tcBorders>
              <w:top w:val="single" w:sz="4" w:space="0" w:color="auto"/>
              <w:left w:val="nil"/>
              <w:bottom w:val="single" w:sz="4" w:space="0" w:color="auto"/>
              <w:right w:val="nil"/>
            </w:tcBorders>
          </w:tcPr>
          <w:p w:rsidR="009A3AFE" w:rsidRPr="00500A44" w:rsidRDefault="009A3AFE" w:rsidP="009A3AFE">
            <w:pPr>
              <w:rPr>
                <w:b/>
              </w:rPr>
            </w:pPr>
            <w:r>
              <w:rPr>
                <w:b/>
              </w:rPr>
              <w:t xml:space="preserve">Cash and Cash equivalents </w:t>
            </w:r>
          </w:p>
        </w:tc>
        <w:tc>
          <w:tcPr>
            <w:tcW w:w="1816" w:type="dxa"/>
            <w:tcBorders>
              <w:top w:val="single" w:sz="4" w:space="0" w:color="auto"/>
              <w:left w:val="nil"/>
              <w:bottom w:val="single" w:sz="4" w:space="0" w:color="auto"/>
              <w:right w:val="nil"/>
            </w:tcBorders>
          </w:tcPr>
          <w:p w:rsidR="009A3AFE" w:rsidRDefault="009A3AFE" w:rsidP="009A3AFE"/>
        </w:tc>
        <w:tc>
          <w:tcPr>
            <w:tcW w:w="1444" w:type="dxa"/>
            <w:tcBorders>
              <w:top w:val="single" w:sz="4" w:space="0" w:color="auto"/>
              <w:left w:val="nil"/>
              <w:bottom w:val="single" w:sz="4" w:space="0" w:color="auto"/>
              <w:right w:val="nil"/>
            </w:tcBorders>
          </w:tcPr>
          <w:p w:rsidR="009A3AFE" w:rsidRDefault="009A3AFE" w:rsidP="009A3AFE"/>
        </w:tc>
        <w:tc>
          <w:tcPr>
            <w:tcW w:w="1276" w:type="dxa"/>
            <w:tcBorders>
              <w:top w:val="single" w:sz="4" w:space="0" w:color="auto"/>
              <w:left w:val="nil"/>
              <w:bottom w:val="single" w:sz="4" w:space="0" w:color="auto"/>
              <w:right w:val="nil"/>
            </w:tcBorders>
          </w:tcPr>
          <w:p w:rsidR="009A3AFE" w:rsidRDefault="009A3AFE" w:rsidP="009A3AFE"/>
        </w:tc>
        <w:tc>
          <w:tcPr>
            <w:tcW w:w="1410" w:type="dxa"/>
            <w:tcBorders>
              <w:top w:val="single" w:sz="4" w:space="0" w:color="auto"/>
              <w:left w:val="nil"/>
              <w:bottom w:val="single" w:sz="4" w:space="0" w:color="auto"/>
              <w:right w:val="nil"/>
            </w:tcBorders>
          </w:tcPr>
          <w:p w:rsidR="009A3AFE" w:rsidRDefault="009A3AFE" w:rsidP="009A3AFE"/>
        </w:tc>
      </w:tr>
      <w:tr w:rsidR="009A3AFE" w:rsidTr="009A3AFE">
        <w:tc>
          <w:tcPr>
            <w:tcW w:w="4350" w:type="dxa"/>
            <w:tcBorders>
              <w:top w:val="single" w:sz="4" w:space="0" w:color="auto"/>
              <w:left w:val="nil"/>
              <w:bottom w:val="single" w:sz="4" w:space="0" w:color="auto"/>
              <w:right w:val="nil"/>
            </w:tcBorders>
          </w:tcPr>
          <w:p w:rsidR="009A3AFE" w:rsidRPr="007D6045" w:rsidRDefault="009A3AFE" w:rsidP="009A3AFE">
            <w:pPr>
              <w:rPr>
                <w:b/>
              </w:rPr>
            </w:pPr>
            <w:r w:rsidRPr="007D6045">
              <w:rPr>
                <w:b/>
              </w:rPr>
              <w:t>Investment portfolio assets:</w:t>
            </w:r>
          </w:p>
        </w:tc>
        <w:tc>
          <w:tcPr>
            <w:tcW w:w="1816" w:type="dxa"/>
            <w:tcBorders>
              <w:top w:val="single" w:sz="4" w:space="0" w:color="auto"/>
              <w:left w:val="nil"/>
              <w:bottom w:val="single" w:sz="4" w:space="0" w:color="auto"/>
              <w:right w:val="nil"/>
            </w:tcBorders>
          </w:tcPr>
          <w:p w:rsidR="009A3AFE" w:rsidRDefault="009A3AFE" w:rsidP="009A3AFE"/>
        </w:tc>
        <w:tc>
          <w:tcPr>
            <w:tcW w:w="1444" w:type="dxa"/>
            <w:tcBorders>
              <w:top w:val="single" w:sz="4" w:space="0" w:color="auto"/>
              <w:left w:val="nil"/>
              <w:bottom w:val="single" w:sz="4" w:space="0" w:color="auto"/>
              <w:right w:val="nil"/>
            </w:tcBorders>
          </w:tcPr>
          <w:p w:rsidR="009A3AFE" w:rsidRDefault="009A3AFE" w:rsidP="009A3AFE"/>
        </w:tc>
        <w:tc>
          <w:tcPr>
            <w:tcW w:w="1276" w:type="dxa"/>
            <w:tcBorders>
              <w:top w:val="single" w:sz="4" w:space="0" w:color="auto"/>
              <w:left w:val="nil"/>
              <w:bottom w:val="single" w:sz="4" w:space="0" w:color="auto"/>
              <w:right w:val="nil"/>
            </w:tcBorders>
          </w:tcPr>
          <w:p w:rsidR="009A3AFE" w:rsidRDefault="009A3AFE" w:rsidP="009A3AFE"/>
        </w:tc>
        <w:tc>
          <w:tcPr>
            <w:tcW w:w="1410" w:type="dxa"/>
            <w:tcBorders>
              <w:top w:val="single" w:sz="4" w:space="0" w:color="auto"/>
              <w:left w:val="nil"/>
              <w:bottom w:val="single" w:sz="4" w:space="0" w:color="auto"/>
              <w:right w:val="nil"/>
            </w:tcBorders>
          </w:tcPr>
          <w:p w:rsidR="009A3AFE" w:rsidRDefault="009A3AFE" w:rsidP="009A3AFE"/>
        </w:tc>
      </w:tr>
      <w:tr w:rsidR="009A3AFE" w:rsidTr="009A3AFE">
        <w:tc>
          <w:tcPr>
            <w:tcW w:w="4350" w:type="dxa"/>
            <w:tcBorders>
              <w:top w:val="single" w:sz="4" w:space="0" w:color="auto"/>
              <w:left w:val="nil"/>
              <w:bottom w:val="single" w:sz="4" w:space="0" w:color="auto"/>
              <w:right w:val="nil"/>
            </w:tcBorders>
          </w:tcPr>
          <w:p w:rsidR="009A3AFE" w:rsidRDefault="009A3AFE" w:rsidP="009A3AFE">
            <w:r>
              <w:t xml:space="preserve">UK bonds </w:t>
            </w:r>
          </w:p>
        </w:tc>
        <w:tc>
          <w:tcPr>
            <w:tcW w:w="1816" w:type="dxa"/>
            <w:tcBorders>
              <w:top w:val="single" w:sz="4" w:space="0" w:color="auto"/>
              <w:left w:val="nil"/>
              <w:bottom w:val="single" w:sz="4" w:space="0" w:color="auto"/>
              <w:right w:val="nil"/>
            </w:tcBorders>
          </w:tcPr>
          <w:p w:rsidR="009A3AFE" w:rsidRDefault="009A3AFE" w:rsidP="009A3AFE">
            <w:pPr>
              <w:jc w:val="right"/>
            </w:pPr>
            <w:r>
              <w:t>694.1</w:t>
            </w:r>
          </w:p>
        </w:tc>
        <w:tc>
          <w:tcPr>
            <w:tcW w:w="1444" w:type="dxa"/>
            <w:tcBorders>
              <w:top w:val="single" w:sz="4" w:space="0" w:color="auto"/>
              <w:left w:val="nil"/>
              <w:bottom w:val="single" w:sz="4" w:space="0" w:color="auto"/>
              <w:right w:val="nil"/>
            </w:tcBorders>
          </w:tcPr>
          <w:p w:rsidR="009A3AFE" w:rsidRDefault="009A3AFE" w:rsidP="009A3AFE">
            <w:pPr>
              <w:jc w:val="right"/>
            </w:pPr>
            <w:r>
              <w:t>5.7%</w:t>
            </w:r>
          </w:p>
        </w:tc>
        <w:tc>
          <w:tcPr>
            <w:tcW w:w="1276" w:type="dxa"/>
            <w:tcBorders>
              <w:top w:val="single" w:sz="4" w:space="0" w:color="auto"/>
              <w:left w:val="nil"/>
              <w:bottom w:val="single" w:sz="4" w:space="0" w:color="auto"/>
              <w:right w:val="nil"/>
            </w:tcBorders>
          </w:tcPr>
          <w:p w:rsidR="009A3AFE" w:rsidRDefault="009A3AFE" w:rsidP="009A3AFE">
            <w:pPr>
              <w:jc w:val="right"/>
            </w:pPr>
            <w:r>
              <w:t>733.6</w:t>
            </w:r>
          </w:p>
        </w:tc>
        <w:tc>
          <w:tcPr>
            <w:tcW w:w="1410" w:type="dxa"/>
            <w:tcBorders>
              <w:top w:val="single" w:sz="4" w:space="0" w:color="auto"/>
              <w:left w:val="nil"/>
              <w:bottom w:val="single" w:sz="4" w:space="0" w:color="auto"/>
              <w:right w:val="nil"/>
            </w:tcBorders>
          </w:tcPr>
          <w:p w:rsidR="009A3AFE" w:rsidRDefault="009A3AFE" w:rsidP="009A3AFE">
            <w:pPr>
              <w:jc w:val="right"/>
            </w:pPr>
            <w:r>
              <w:t>654.6</w:t>
            </w:r>
          </w:p>
        </w:tc>
      </w:tr>
      <w:tr w:rsidR="009A3AFE" w:rsidTr="009A3AFE">
        <w:tc>
          <w:tcPr>
            <w:tcW w:w="4350" w:type="dxa"/>
            <w:tcBorders>
              <w:top w:val="single" w:sz="4" w:space="0" w:color="auto"/>
              <w:left w:val="nil"/>
              <w:bottom w:val="single" w:sz="4" w:space="0" w:color="auto"/>
              <w:right w:val="nil"/>
            </w:tcBorders>
          </w:tcPr>
          <w:p w:rsidR="009A3AFE" w:rsidRDefault="009A3AFE" w:rsidP="009A3AFE">
            <w:r>
              <w:t>Overseas bonds</w:t>
            </w:r>
          </w:p>
        </w:tc>
        <w:tc>
          <w:tcPr>
            <w:tcW w:w="1816" w:type="dxa"/>
            <w:tcBorders>
              <w:top w:val="single" w:sz="4" w:space="0" w:color="auto"/>
              <w:left w:val="nil"/>
              <w:bottom w:val="single" w:sz="4" w:space="0" w:color="auto"/>
              <w:right w:val="nil"/>
            </w:tcBorders>
          </w:tcPr>
          <w:p w:rsidR="009A3AFE" w:rsidRDefault="009A3AFE" w:rsidP="009A3AFE">
            <w:pPr>
              <w:jc w:val="right"/>
            </w:pPr>
            <w:r>
              <w:t>26.9</w:t>
            </w:r>
          </w:p>
        </w:tc>
        <w:tc>
          <w:tcPr>
            <w:tcW w:w="1444" w:type="dxa"/>
            <w:tcBorders>
              <w:top w:val="single" w:sz="4" w:space="0" w:color="auto"/>
              <w:left w:val="nil"/>
              <w:bottom w:val="single" w:sz="4" w:space="0" w:color="auto"/>
              <w:right w:val="nil"/>
            </w:tcBorders>
          </w:tcPr>
          <w:p w:rsidR="009A3AFE" w:rsidRDefault="009A3AFE" w:rsidP="009A3AFE">
            <w:pPr>
              <w:jc w:val="right"/>
            </w:pPr>
            <w:r>
              <w:t>11.8%</w:t>
            </w:r>
          </w:p>
        </w:tc>
        <w:tc>
          <w:tcPr>
            <w:tcW w:w="1276" w:type="dxa"/>
            <w:tcBorders>
              <w:top w:val="single" w:sz="4" w:space="0" w:color="auto"/>
              <w:left w:val="nil"/>
              <w:bottom w:val="single" w:sz="4" w:space="0" w:color="auto"/>
              <w:right w:val="nil"/>
            </w:tcBorders>
          </w:tcPr>
          <w:p w:rsidR="009A3AFE" w:rsidRDefault="009A3AFE" w:rsidP="009A3AFE">
            <w:pPr>
              <w:jc w:val="right"/>
            </w:pPr>
            <w:r>
              <w:t>30.1</w:t>
            </w:r>
          </w:p>
        </w:tc>
        <w:tc>
          <w:tcPr>
            <w:tcW w:w="1410" w:type="dxa"/>
            <w:tcBorders>
              <w:top w:val="single" w:sz="4" w:space="0" w:color="auto"/>
              <w:left w:val="nil"/>
              <w:bottom w:val="single" w:sz="4" w:space="0" w:color="auto"/>
              <w:right w:val="nil"/>
            </w:tcBorders>
          </w:tcPr>
          <w:p w:rsidR="009A3AFE" w:rsidRDefault="009A3AFE" w:rsidP="009A3AFE">
            <w:pPr>
              <w:jc w:val="right"/>
            </w:pPr>
            <w:r>
              <w:t>23.7</w:t>
            </w:r>
          </w:p>
        </w:tc>
      </w:tr>
      <w:tr w:rsidR="009A3AFE" w:rsidTr="009A3AFE">
        <w:tc>
          <w:tcPr>
            <w:tcW w:w="4350" w:type="dxa"/>
            <w:tcBorders>
              <w:top w:val="single" w:sz="4" w:space="0" w:color="auto"/>
              <w:left w:val="nil"/>
              <w:bottom w:val="single" w:sz="4" w:space="0" w:color="auto"/>
              <w:right w:val="nil"/>
            </w:tcBorders>
          </w:tcPr>
          <w:p w:rsidR="009A3AFE" w:rsidRDefault="009A3AFE" w:rsidP="009A3AFE">
            <w:r>
              <w:t xml:space="preserve">UK equities </w:t>
            </w:r>
          </w:p>
        </w:tc>
        <w:tc>
          <w:tcPr>
            <w:tcW w:w="1816" w:type="dxa"/>
            <w:tcBorders>
              <w:top w:val="single" w:sz="4" w:space="0" w:color="auto"/>
              <w:left w:val="nil"/>
              <w:bottom w:val="single" w:sz="4" w:space="0" w:color="auto"/>
              <w:right w:val="nil"/>
            </w:tcBorders>
          </w:tcPr>
          <w:p w:rsidR="009A3AFE" w:rsidRDefault="009A3AFE" w:rsidP="00EE7662">
            <w:pPr>
              <w:jc w:val="right"/>
            </w:pPr>
            <w:r>
              <w:t>13</w:t>
            </w:r>
            <w:r w:rsidR="00EE7662">
              <w:t>44</w:t>
            </w:r>
            <w:r>
              <w:t>.</w:t>
            </w:r>
            <w:r w:rsidR="00EE7662">
              <w:t>6</w:t>
            </w:r>
          </w:p>
        </w:tc>
        <w:tc>
          <w:tcPr>
            <w:tcW w:w="1444" w:type="dxa"/>
            <w:tcBorders>
              <w:top w:val="single" w:sz="4" w:space="0" w:color="auto"/>
              <w:left w:val="nil"/>
              <w:bottom w:val="single" w:sz="4" w:space="0" w:color="auto"/>
              <w:right w:val="nil"/>
            </w:tcBorders>
          </w:tcPr>
          <w:p w:rsidR="009A3AFE" w:rsidRDefault="009A3AFE" w:rsidP="00A25616">
            <w:pPr>
              <w:jc w:val="right"/>
            </w:pPr>
            <w:r>
              <w:t>1</w:t>
            </w:r>
            <w:r w:rsidR="00A25616">
              <w:t>5</w:t>
            </w:r>
            <w:r>
              <w:t>.</w:t>
            </w:r>
            <w:r w:rsidR="00A25616">
              <w:t>3</w:t>
            </w:r>
            <w:r>
              <w:t>%</w:t>
            </w:r>
          </w:p>
        </w:tc>
        <w:tc>
          <w:tcPr>
            <w:tcW w:w="1276" w:type="dxa"/>
            <w:tcBorders>
              <w:top w:val="single" w:sz="4" w:space="0" w:color="auto"/>
              <w:left w:val="nil"/>
              <w:bottom w:val="single" w:sz="4" w:space="0" w:color="auto"/>
              <w:right w:val="nil"/>
            </w:tcBorders>
          </w:tcPr>
          <w:p w:rsidR="009A3AFE" w:rsidRDefault="00A25616" w:rsidP="009A3AFE">
            <w:pPr>
              <w:jc w:val="right"/>
            </w:pPr>
            <w:r>
              <w:t>1551.0</w:t>
            </w:r>
          </w:p>
        </w:tc>
        <w:tc>
          <w:tcPr>
            <w:tcW w:w="1410" w:type="dxa"/>
            <w:tcBorders>
              <w:top w:val="single" w:sz="4" w:space="0" w:color="auto"/>
              <w:left w:val="nil"/>
              <w:bottom w:val="single" w:sz="4" w:space="0" w:color="auto"/>
              <w:right w:val="nil"/>
            </w:tcBorders>
          </w:tcPr>
          <w:p w:rsidR="009A3AFE" w:rsidRDefault="009A3AFE" w:rsidP="00A25616">
            <w:pPr>
              <w:jc w:val="right"/>
            </w:pPr>
            <w:r>
              <w:t>11</w:t>
            </w:r>
            <w:r w:rsidR="00A25616">
              <w:t>38</w:t>
            </w:r>
            <w:r>
              <w:t>.</w:t>
            </w:r>
            <w:r w:rsidR="00A25616">
              <w:t>3</w:t>
            </w:r>
          </w:p>
        </w:tc>
      </w:tr>
      <w:tr w:rsidR="009A3AFE" w:rsidTr="009A3AFE">
        <w:tc>
          <w:tcPr>
            <w:tcW w:w="4350" w:type="dxa"/>
            <w:tcBorders>
              <w:top w:val="single" w:sz="4" w:space="0" w:color="auto"/>
              <w:left w:val="nil"/>
              <w:bottom w:val="single" w:sz="4" w:space="0" w:color="auto"/>
              <w:right w:val="nil"/>
            </w:tcBorders>
          </w:tcPr>
          <w:p w:rsidR="009A3AFE" w:rsidRDefault="009A3AFE" w:rsidP="009A3AFE">
            <w:r>
              <w:t>Overseas equities</w:t>
            </w:r>
          </w:p>
        </w:tc>
        <w:tc>
          <w:tcPr>
            <w:tcW w:w="1816" w:type="dxa"/>
            <w:tcBorders>
              <w:top w:val="single" w:sz="4" w:space="0" w:color="auto"/>
              <w:left w:val="nil"/>
              <w:bottom w:val="single" w:sz="4" w:space="0" w:color="auto"/>
              <w:right w:val="nil"/>
            </w:tcBorders>
          </w:tcPr>
          <w:p w:rsidR="009A3AFE" w:rsidRDefault="00EE7662" w:rsidP="009A3AFE">
            <w:pPr>
              <w:jc w:val="right"/>
            </w:pPr>
            <w:r>
              <w:t>1385.4</w:t>
            </w:r>
          </w:p>
        </w:tc>
        <w:tc>
          <w:tcPr>
            <w:tcW w:w="1444" w:type="dxa"/>
            <w:tcBorders>
              <w:top w:val="single" w:sz="4" w:space="0" w:color="auto"/>
              <w:left w:val="nil"/>
              <w:bottom w:val="single" w:sz="4" w:space="0" w:color="auto"/>
              <w:right w:val="nil"/>
            </w:tcBorders>
          </w:tcPr>
          <w:p w:rsidR="009A3AFE" w:rsidRDefault="009A3AFE" w:rsidP="00A25616">
            <w:pPr>
              <w:jc w:val="right"/>
            </w:pPr>
            <w:r>
              <w:t>1</w:t>
            </w:r>
            <w:r w:rsidR="00A25616">
              <w:t>4</w:t>
            </w:r>
            <w:r>
              <w:t>.</w:t>
            </w:r>
            <w:r w:rsidR="00A25616">
              <w:t>8</w:t>
            </w:r>
            <w:r>
              <w:t>%</w:t>
            </w:r>
          </w:p>
        </w:tc>
        <w:tc>
          <w:tcPr>
            <w:tcW w:w="1276" w:type="dxa"/>
            <w:tcBorders>
              <w:top w:val="single" w:sz="4" w:space="0" w:color="auto"/>
              <w:left w:val="nil"/>
              <w:bottom w:val="single" w:sz="4" w:space="0" w:color="auto"/>
              <w:right w:val="nil"/>
            </w:tcBorders>
          </w:tcPr>
          <w:p w:rsidR="009A3AFE" w:rsidRDefault="009A3AFE" w:rsidP="00A25616">
            <w:pPr>
              <w:jc w:val="right"/>
            </w:pPr>
            <w:r>
              <w:t>15</w:t>
            </w:r>
            <w:r w:rsidR="00A25616">
              <w:t>90</w:t>
            </w:r>
            <w:r>
              <w:t>.</w:t>
            </w:r>
            <w:r w:rsidR="00A25616">
              <w:t>8</w:t>
            </w:r>
          </w:p>
        </w:tc>
        <w:tc>
          <w:tcPr>
            <w:tcW w:w="1410" w:type="dxa"/>
            <w:tcBorders>
              <w:top w:val="single" w:sz="4" w:space="0" w:color="auto"/>
              <w:left w:val="nil"/>
              <w:bottom w:val="single" w:sz="4" w:space="0" w:color="auto"/>
              <w:right w:val="nil"/>
            </w:tcBorders>
          </w:tcPr>
          <w:p w:rsidR="009A3AFE" w:rsidRDefault="009A3AFE" w:rsidP="00EE7662">
            <w:pPr>
              <w:jc w:val="right"/>
            </w:pPr>
            <w:r>
              <w:t>11</w:t>
            </w:r>
            <w:r w:rsidR="00EE7662">
              <w:t>80</w:t>
            </w:r>
            <w:r>
              <w:t>.</w:t>
            </w:r>
            <w:r w:rsidR="00A25616">
              <w:t>0</w:t>
            </w:r>
          </w:p>
        </w:tc>
      </w:tr>
      <w:tr w:rsidR="009A3AFE" w:rsidTr="009A3AFE">
        <w:tc>
          <w:tcPr>
            <w:tcW w:w="4350" w:type="dxa"/>
            <w:tcBorders>
              <w:top w:val="single" w:sz="4" w:space="0" w:color="auto"/>
              <w:left w:val="nil"/>
              <w:bottom w:val="nil"/>
              <w:right w:val="nil"/>
            </w:tcBorders>
          </w:tcPr>
          <w:p w:rsidR="009A3AFE" w:rsidRDefault="009A3AFE" w:rsidP="009A3AFE">
            <w:r>
              <w:t>Index linked gilts</w:t>
            </w:r>
          </w:p>
        </w:tc>
        <w:tc>
          <w:tcPr>
            <w:tcW w:w="1816" w:type="dxa"/>
            <w:tcBorders>
              <w:top w:val="single" w:sz="4" w:space="0" w:color="auto"/>
              <w:left w:val="nil"/>
              <w:bottom w:val="nil"/>
              <w:right w:val="nil"/>
            </w:tcBorders>
          </w:tcPr>
          <w:p w:rsidR="009A3AFE" w:rsidRDefault="009A3AFE" w:rsidP="009A3AFE">
            <w:pPr>
              <w:jc w:val="right"/>
            </w:pPr>
            <w:r>
              <w:t>177.6</w:t>
            </w:r>
          </w:p>
        </w:tc>
        <w:tc>
          <w:tcPr>
            <w:tcW w:w="1444" w:type="dxa"/>
            <w:tcBorders>
              <w:top w:val="single" w:sz="4" w:space="0" w:color="auto"/>
              <w:left w:val="nil"/>
              <w:bottom w:val="nil"/>
              <w:right w:val="nil"/>
            </w:tcBorders>
          </w:tcPr>
          <w:p w:rsidR="009A3AFE" w:rsidRDefault="009A3AFE" w:rsidP="009A3AFE">
            <w:pPr>
              <w:jc w:val="right"/>
            </w:pPr>
            <w:r>
              <w:t>7.6%</w:t>
            </w:r>
          </w:p>
        </w:tc>
        <w:tc>
          <w:tcPr>
            <w:tcW w:w="1276" w:type="dxa"/>
            <w:tcBorders>
              <w:top w:val="single" w:sz="4" w:space="0" w:color="auto"/>
              <w:left w:val="nil"/>
              <w:bottom w:val="nil"/>
              <w:right w:val="nil"/>
            </w:tcBorders>
          </w:tcPr>
          <w:p w:rsidR="009A3AFE" w:rsidRDefault="009A3AFE" w:rsidP="009A3AFE">
            <w:pPr>
              <w:jc w:val="right"/>
            </w:pPr>
            <w:r>
              <w:t>191.2</w:t>
            </w:r>
          </w:p>
        </w:tc>
        <w:tc>
          <w:tcPr>
            <w:tcW w:w="1410" w:type="dxa"/>
            <w:tcBorders>
              <w:top w:val="single" w:sz="4" w:space="0" w:color="auto"/>
              <w:left w:val="nil"/>
              <w:bottom w:val="nil"/>
              <w:right w:val="nil"/>
            </w:tcBorders>
          </w:tcPr>
          <w:p w:rsidR="009A3AFE" w:rsidRDefault="009A3AFE" w:rsidP="009A3AFE">
            <w:pPr>
              <w:jc w:val="right"/>
            </w:pPr>
            <w:r>
              <w:t>164.1</w:t>
            </w:r>
          </w:p>
        </w:tc>
      </w:tr>
      <w:tr w:rsidR="009A3AFE" w:rsidTr="009A3AFE">
        <w:tc>
          <w:tcPr>
            <w:tcW w:w="4350" w:type="dxa"/>
            <w:tcBorders>
              <w:top w:val="nil"/>
              <w:left w:val="nil"/>
              <w:bottom w:val="single" w:sz="4" w:space="0" w:color="auto"/>
              <w:right w:val="nil"/>
            </w:tcBorders>
          </w:tcPr>
          <w:p w:rsidR="009A3AFE" w:rsidRDefault="009A3AFE" w:rsidP="009A3AFE"/>
        </w:tc>
        <w:tc>
          <w:tcPr>
            <w:tcW w:w="1816" w:type="dxa"/>
            <w:tcBorders>
              <w:top w:val="nil"/>
              <w:left w:val="nil"/>
              <w:bottom w:val="single" w:sz="4" w:space="0" w:color="auto"/>
              <w:right w:val="nil"/>
            </w:tcBorders>
          </w:tcPr>
          <w:p w:rsidR="009A3AFE" w:rsidRDefault="009A3AFE" w:rsidP="009A3AFE">
            <w:pPr>
              <w:jc w:val="right"/>
            </w:pPr>
          </w:p>
        </w:tc>
        <w:tc>
          <w:tcPr>
            <w:tcW w:w="1444" w:type="dxa"/>
            <w:tcBorders>
              <w:top w:val="nil"/>
              <w:left w:val="nil"/>
              <w:bottom w:val="single" w:sz="4" w:space="0" w:color="auto"/>
              <w:right w:val="nil"/>
            </w:tcBorders>
          </w:tcPr>
          <w:p w:rsidR="009A3AFE" w:rsidRDefault="009A3AFE" w:rsidP="009A3AFE">
            <w:pPr>
              <w:jc w:val="right"/>
            </w:pPr>
          </w:p>
        </w:tc>
        <w:tc>
          <w:tcPr>
            <w:tcW w:w="1276" w:type="dxa"/>
            <w:tcBorders>
              <w:top w:val="nil"/>
              <w:left w:val="nil"/>
              <w:bottom w:val="single" w:sz="4" w:space="0" w:color="auto"/>
              <w:right w:val="nil"/>
            </w:tcBorders>
          </w:tcPr>
          <w:p w:rsidR="009A3AFE" w:rsidRDefault="009A3AFE" w:rsidP="009A3AFE">
            <w:pPr>
              <w:jc w:val="right"/>
            </w:pPr>
          </w:p>
        </w:tc>
        <w:tc>
          <w:tcPr>
            <w:tcW w:w="1410" w:type="dxa"/>
            <w:tcBorders>
              <w:top w:val="nil"/>
              <w:left w:val="nil"/>
              <w:bottom w:val="single" w:sz="4" w:space="0" w:color="auto"/>
              <w:right w:val="nil"/>
            </w:tcBorders>
          </w:tcPr>
          <w:p w:rsidR="009A3AFE" w:rsidRDefault="009A3AFE" w:rsidP="009A3AFE">
            <w:pPr>
              <w:jc w:val="right"/>
            </w:pPr>
          </w:p>
        </w:tc>
      </w:tr>
      <w:tr w:rsidR="009A3AFE" w:rsidTr="009A3AFE">
        <w:tc>
          <w:tcPr>
            <w:tcW w:w="4350" w:type="dxa"/>
            <w:tcBorders>
              <w:top w:val="single" w:sz="4" w:space="0" w:color="auto"/>
              <w:left w:val="nil"/>
              <w:bottom w:val="single" w:sz="4" w:space="0" w:color="auto"/>
              <w:right w:val="nil"/>
            </w:tcBorders>
          </w:tcPr>
          <w:p w:rsidR="009A3AFE" w:rsidRDefault="009A3AFE" w:rsidP="009A3AFE">
            <w:r>
              <w:t>Cash</w:t>
            </w:r>
          </w:p>
        </w:tc>
        <w:tc>
          <w:tcPr>
            <w:tcW w:w="1816" w:type="dxa"/>
            <w:tcBorders>
              <w:top w:val="single" w:sz="4" w:space="0" w:color="auto"/>
              <w:left w:val="nil"/>
              <w:bottom w:val="single" w:sz="4" w:space="0" w:color="auto"/>
              <w:right w:val="nil"/>
            </w:tcBorders>
          </w:tcPr>
          <w:p w:rsidR="009A3AFE" w:rsidRDefault="009A3AFE" w:rsidP="009A3AFE">
            <w:pPr>
              <w:jc w:val="right"/>
            </w:pPr>
            <w:r>
              <w:t>53.8</w:t>
            </w:r>
          </w:p>
        </w:tc>
        <w:tc>
          <w:tcPr>
            <w:tcW w:w="1444" w:type="dxa"/>
            <w:tcBorders>
              <w:top w:val="single" w:sz="4" w:space="0" w:color="auto"/>
              <w:left w:val="nil"/>
              <w:bottom w:val="single" w:sz="4" w:space="0" w:color="auto"/>
              <w:right w:val="nil"/>
            </w:tcBorders>
          </w:tcPr>
          <w:p w:rsidR="009A3AFE" w:rsidRDefault="009A3AFE" w:rsidP="009A3AFE">
            <w:pPr>
              <w:jc w:val="right"/>
            </w:pPr>
            <w:r>
              <w:t>0.0%</w:t>
            </w:r>
          </w:p>
        </w:tc>
        <w:tc>
          <w:tcPr>
            <w:tcW w:w="1276" w:type="dxa"/>
            <w:tcBorders>
              <w:top w:val="single" w:sz="4" w:space="0" w:color="auto"/>
              <w:left w:val="nil"/>
              <w:bottom w:val="single" w:sz="4" w:space="0" w:color="auto"/>
              <w:right w:val="nil"/>
            </w:tcBorders>
          </w:tcPr>
          <w:p w:rsidR="009A3AFE" w:rsidRDefault="009A3AFE" w:rsidP="009A3AFE">
            <w:pPr>
              <w:jc w:val="right"/>
            </w:pPr>
            <w:r>
              <w:t>53.8</w:t>
            </w:r>
          </w:p>
        </w:tc>
        <w:tc>
          <w:tcPr>
            <w:tcW w:w="1410" w:type="dxa"/>
            <w:tcBorders>
              <w:top w:val="single" w:sz="4" w:space="0" w:color="auto"/>
              <w:left w:val="nil"/>
              <w:bottom w:val="single" w:sz="4" w:space="0" w:color="auto"/>
              <w:right w:val="nil"/>
            </w:tcBorders>
          </w:tcPr>
          <w:p w:rsidR="009A3AFE" w:rsidRDefault="009A3AFE" w:rsidP="009A3AFE">
            <w:pPr>
              <w:jc w:val="right"/>
            </w:pPr>
            <w:r>
              <w:t>53.8</w:t>
            </w:r>
          </w:p>
        </w:tc>
      </w:tr>
      <w:tr w:rsidR="009A3AFE" w:rsidTr="009A3AFE">
        <w:tc>
          <w:tcPr>
            <w:tcW w:w="4350" w:type="dxa"/>
            <w:tcBorders>
              <w:top w:val="single" w:sz="4" w:space="0" w:color="auto"/>
              <w:left w:val="nil"/>
              <w:bottom w:val="single" w:sz="4" w:space="0" w:color="auto"/>
              <w:right w:val="nil"/>
            </w:tcBorders>
          </w:tcPr>
          <w:p w:rsidR="009A3AFE" w:rsidRDefault="009A3AFE" w:rsidP="009A3AFE">
            <w:r>
              <w:t xml:space="preserve">Alternatives </w:t>
            </w:r>
          </w:p>
        </w:tc>
        <w:tc>
          <w:tcPr>
            <w:tcW w:w="1816" w:type="dxa"/>
            <w:tcBorders>
              <w:top w:val="single" w:sz="4" w:space="0" w:color="auto"/>
              <w:left w:val="nil"/>
              <w:bottom w:val="single" w:sz="4" w:space="0" w:color="auto"/>
              <w:right w:val="nil"/>
            </w:tcBorders>
          </w:tcPr>
          <w:p w:rsidR="009A3AFE" w:rsidRDefault="009A3AFE" w:rsidP="009A3AFE">
            <w:pPr>
              <w:jc w:val="right"/>
            </w:pPr>
            <w:r>
              <w:t>201.8</w:t>
            </w:r>
          </w:p>
        </w:tc>
        <w:tc>
          <w:tcPr>
            <w:tcW w:w="1444" w:type="dxa"/>
            <w:tcBorders>
              <w:top w:val="single" w:sz="4" w:space="0" w:color="auto"/>
              <w:left w:val="nil"/>
              <w:bottom w:val="single" w:sz="4" w:space="0" w:color="auto"/>
              <w:right w:val="nil"/>
            </w:tcBorders>
          </w:tcPr>
          <w:p w:rsidR="009A3AFE" w:rsidRDefault="009A3AFE" w:rsidP="009A3AFE">
            <w:pPr>
              <w:jc w:val="right"/>
            </w:pPr>
            <w:r>
              <w:t>7.7%</w:t>
            </w:r>
          </w:p>
        </w:tc>
        <w:tc>
          <w:tcPr>
            <w:tcW w:w="1276" w:type="dxa"/>
            <w:tcBorders>
              <w:top w:val="single" w:sz="4" w:space="0" w:color="auto"/>
              <w:left w:val="nil"/>
              <w:bottom w:val="single" w:sz="4" w:space="0" w:color="auto"/>
              <w:right w:val="nil"/>
            </w:tcBorders>
          </w:tcPr>
          <w:p w:rsidR="009A3AFE" w:rsidRDefault="009A3AFE" w:rsidP="009A3AFE">
            <w:pPr>
              <w:jc w:val="right"/>
            </w:pPr>
            <w:r>
              <w:t>217.4</w:t>
            </w:r>
          </w:p>
        </w:tc>
        <w:tc>
          <w:tcPr>
            <w:tcW w:w="1410" w:type="dxa"/>
            <w:tcBorders>
              <w:top w:val="single" w:sz="4" w:space="0" w:color="auto"/>
              <w:left w:val="nil"/>
              <w:bottom w:val="single" w:sz="4" w:space="0" w:color="auto"/>
              <w:right w:val="nil"/>
            </w:tcBorders>
          </w:tcPr>
          <w:p w:rsidR="009A3AFE" w:rsidRDefault="009A3AFE" w:rsidP="009A3AFE">
            <w:pPr>
              <w:jc w:val="right"/>
            </w:pPr>
            <w:r>
              <w:t>186.2</w:t>
            </w:r>
          </w:p>
        </w:tc>
      </w:tr>
      <w:tr w:rsidR="009A3AFE" w:rsidTr="009A3AFE">
        <w:tc>
          <w:tcPr>
            <w:tcW w:w="4350" w:type="dxa"/>
            <w:tcBorders>
              <w:top w:val="single" w:sz="4" w:space="0" w:color="auto"/>
              <w:left w:val="nil"/>
              <w:bottom w:val="single" w:sz="4" w:space="0" w:color="auto"/>
              <w:right w:val="nil"/>
            </w:tcBorders>
          </w:tcPr>
          <w:p w:rsidR="009A3AFE" w:rsidRDefault="009A3AFE" w:rsidP="009A3AFE">
            <w:r>
              <w:t>Property</w:t>
            </w:r>
          </w:p>
        </w:tc>
        <w:tc>
          <w:tcPr>
            <w:tcW w:w="1816" w:type="dxa"/>
            <w:tcBorders>
              <w:top w:val="single" w:sz="4" w:space="0" w:color="auto"/>
              <w:left w:val="nil"/>
              <w:bottom w:val="single" w:sz="4" w:space="0" w:color="auto"/>
              <w:right w:val="nil"/>
            </w:tcBorders>
          </w:tcPr>
          <w:p w:rsidR="009A3AFE" w:rsidRDefault="009A3AFE" w:rsidP="009A3AFE">
            <w:pPr>
              <w:jc w:val="right"/>
            </w:pPr>
            <w:r>
              <w:t>397.5</w:t>
            </w:r>
          </w:p>
        </w:tc>
        <w:tc>
          <w:tcPr>
            <w:tcW w:w="1444" w:type="dxa"/>
            <w:tcBorders>
              <w:top w:val="single" w:sz="4" w:space="0" w:color="auto"/>
              <w:left w:val="nil"/>
              <w:bottom w:val="single" w:sz="4" w:space="0" w:color="auto"/>
              <w:right w:val="nil"/>
            </w:tcBorders>
          </w:tcPr>
          <w:p w:rsidR="009A3AFE" w:rsidRDefault="009A3AFE" w:rsidP="009A3AFE">
            <w:pPr>
              <w:jc w:val="right"/>
            </w:pPr>
            <w:r>
              <w:t>9.4%</w:t>
            </w:r>
          </w:p>
        </w:tc>
        <w:tc>
          <w:tcPr>
            <w:tcW w:w="1276" w:type="dxa"/>
            <w:tcBorders>
              <w:top w:val="single" w:sz="4" w:space="0" w:color="auto"/>
              <w:left w:val="nil"/>
              <w:bottom w:val="single" w:sz="4" w:space="0" w:color="auto"/>
              <w:right w:val="nil"/>
            </w:tcBorders>
          </w:tcPr>
          <w:p w:rsidR="009A3AFE" w:rsidRDefault="009A3AFE" w:rsidP="009A3AFE">
            <w:pPr>
              <w:jc w:val="right"/>
            </w:pPr>
            <w:r>
              <w:t>434.6</w:t>
            </w:r>
          </w:p>
        </w:tc>
        <w:tc>
          <w:tcPr>
            <w:tcW w:w="1410" w:type="dxa"/>
            <w:tcBorders>
              <w:top w:val="single" w:sz="4" w:space="0" w:color="auto"/>
              <w:left w:val="nil"/>
              <w:bottom w:val="single" w:sz="4" w:space="0" w:color="auto"/>
              <w:right w:val="nil"/>
            </w:tcBorders>
          </w:tcPr>
          <w:p w:rsidR="009A3AFE" w:rsidRDefault="009A3AFE" w:rsidP="009A3AFE">
            <w:pPr>
              <w:jc w:val="right"/>
            </w:pPr>
            <w:r>
              <w:t>360.3</w:t>
            </w:r>
          </w:p>
        </w:tc>
      </w:tr>
      <w:tr w:rsidR="009A3AFE" w:rsidTr="009A3AFE">
        <w:tc>
          <w:tcPr>
            <w:tcW w:w="4350" w:type="dxa"/>
            <w:tcBorders>
              <w:top w:val="single" w:sz="4" w:space="0" w:color="auto"/>
              <w:left w:val="nil"/>
              <w:bottom w:val="single" w:sz="4" w:space="0" w:color="auto"/>
              <w:right w:val="nil"/>
            </w:tcBorders>
          </w:tcPr>
          <w:p w:rsidR="009A3AFE" w:rsidRPr="007D6045" w:rsidRDefault="009A3AFE" w:rsidP="009A3AFE">
            <w:pPr>
              <w:rPr>
                <w:b/>
              </w:rPr>
            </w:pPr>
            <w:r>
              <w:rPr>
                <w:b/>
              </w:rPr>
              <w:t xml:space="preserve">Total asset available to pay benefits </w:t>
            </w:r>
          </w:p>
        </w:tc>
        <w:tc>
          <w:tcPr>
            <w:tcW w:w="1816" w:type="dxa"/>
            <w:tcBorders>
              <w:top w:val="single" w:sz="4" w:space="0" w:color="auto"/>
              <w:left w:val="nil"/>
              <w:bottom w:val="single" w:sz="4" w:space="0" w:color="auto"/>
              <w:right w:val="nil"/>
            </w:tcBorders>
          </w:tcPr>
          <w:p w:rsidR="009A3AFE" w:rsidRDefault="009A3AFE" w:rsidP="00A25616">
            <w:pPr>
              <w:jc w:val="right"/>
            </w:pPr>
            <w:r>
              <w:t>428</w:t>
            </w:r>
            <w:r w:rsidR="00A25616">
              <w:t>1</w:t>
            </w:r>
            <w:r>
              <w:t>.</w:t>
            </w:r>
            <w:r w:rsidR="00A25616">
              <w:t>7</w:t>
            </w:r>
          </w:p>
        </w:tc>
        <w:tc>
          <w:tcPr>
            <w:tcW w:w="1444" w:type="dxa"/>
            <w:tcBorders>
              <w:top w:val="single" w:sz="4" w:space="0" w:color="auto"/>
              <w:left w:val="nil"/>
              <w:bottom w:val="single" w:sz="4" w:space="0" w:color="auto"/>
              <w:right w:val="nil"/>
            </w:tcBorders>
          </w:tcPr>
          <w:p w:rsidR="009A3AFE" w:rsidRDefault="009A3AFE" w:rsidP="009A3AFE">
            <w:pPr>
              <w:jc w:val="right"/>
            </w:pPr>
          </w:p>
        </w:tc>
        <w:tc>
          <w:tcPr>
            <w:tcW w:w="1276" w:type="dxa"/>
            <w:tcBorders>
              <w:top w:val="single" w:sz="4" w:space="0" w:color="auto"/>
              <w:left w:val="nil"/>
              <w:bottom w:val="single" w:sz="4" w:space="0" w:color="auto"/>
              <w:right w:val="nil"/>
            </w:tcBorders>
          </w:tcPr>
          <w:p w:rsidR="009A3AFE" w:rsidRDefault="009A3AFE" w:rsidP="00A25616">
            <w:pPr>
              <w:jc w:val="right"/>
            </w:pPr>
            <w:r>
              <w:t>4802.</w:t>
            </w:r>
            <w:r w:rsidR="00A25616">
              <w:t>5</w:t>
            </w:r>
          </w:p>
        </w:tc>
        <w:tc>
          <w:tcPr>
            <w:tcW w:w="1410" w:type="dxa"/>
            <w:tcBorders>
              <w:top w:val="single" w:sz="4" w:space="0" w:color="auto"/>
              <w:left w:val="nil"/>
              <w:bottom w:val="single" w:sz="4" w:space="0" w:color="auto"/>
              <w:right w:val="nil"/>
            </w:tcBorders>
          </w:tcPr>
          <w:p w:rsidR="009A3AFE" w:rsidRDefault="009A3AFE" w:rsidP="00A25616">
            <w:pPr>
              <w:jc w:val="right"/>
            </w:pPr>
            <w:r>
              <w:t>3761.</w:t>
            </w:r>
            <w:r w:rsidR="00A25616">
              <w:t>0</w:t>
            </w:r>
          </w:p>
        </w:tc>
      </w:tr>
    </w:tbl>
    <w:p w:rsidR="009A3AFE" w:rsidRDefault="009A3AFE" w:rsidP="009A3AFE">
      <w:pPr>
        <w:ind w:left="720"/>
      </w:pPr>
    </w:p>
    <w:p w:rsidR="009A3AFE" w:rsidRDefault="009A3AFE" w:rsidP="009A3AFE">
      <w:pPr>
        <w:ind w:left="720"/>
      </w:pPr>
      <w:r>
        <w:t xml:space="preserve">   </w:t>
      </w:r>
    </w:p>
    <w:p w:rsidR="009A3AFE" w:rsidRDefault="009A3AFE" w:rsidP="009A3AFE">
      <w:pPr>
        <w:ind w:left="720"/>
        <w:rPr>
          <w:b/>
        </w:rPr>
      </w:pPr>
      <w:r w:rsidRPr="007D6045">
        <w:rPr>
          <w:b/>
        </w:rPr>
        <w:t xml:space="preserve">Interest Rate Risk </w:t>
      </w:r>
    </w:p>
    <w:p w:rsidR="009A3AFE" w:rsidRDefault="009A3AFE" w:rsidP="009A3AFE">
      <w:pPr>
        <w:ind w:left="720"/>
        <w:rPr>
          <w:b/>
        </w:rPr>
      </w:pPr>
    </w:p>
    <w:p w:rsidR="009A3AFE" w:rsidRDefault="009A3AFE" w:rsidP="009A3AFE">
      <w:pPr>
        <w:ind w:left="720"/>
      </w:pPr>
      <w:r>
        <w:t xml:space="preserve">The Fund invests in financial assets for the primary purpose of obtaining a return on investments.  These investments are subject to interest rate risks, which represent the risks that the fair value of future cash flow of a financial instrument will fluctuate because of changes in market interest rates.  </w:t>
      </w:r>
    </w:p>
    <w:p w:rsidR="009A3AFE" w:rsidRDefault="009A3AFE" w:rsidP="009A3AFE">
      <w:pPr>
        <w:ind w:left="720"/>
      </w:pPr>
    </w:p>
    <w:p w:rsidR="009A3AFE" w:rsidRPr="007D6045" w:rsidRDefault="009A3AFE" w:rsidP="009A3AFE">
      <w:pPr>
        <w:ind w:left="720"/>
      </w:pPr>
      <w:r>
        <w:t xml:space="preserve">The Fund's interest rate risk is routinely monitored by the Investment Panel and its investment advisors.  The Fund's direct exposure to interest rate movements as at 31 March 2012 and 31 March 2011 is set out below.  These disclosures present interest rate risk based on the underlying financial assets at fair value.       </w:t>
      </w:r>
    </w:p>
    <w:p w:rsidR="009A3AFE" w:rsidRDefault="009A3AFE" w:rsidP="009A3AFE">
      <w:pPr>
        <w:ind w:left="720"/>
      </w:pPr>
      <w:r>
        <w:t xml:space="preserve">  </w:t>
      </w:r>
    </w:p>
    <w:tbl>
      <w:tblPr>
        <w:tblStyle w:val="TableGrid"/>
        <w:tblW w:w="0" w:type="auto"/>
        <w:tblInd w:w="720" w:type="dxa"/>
        <w:tblBorders>
          <w:left w:val="none" w:sz="0" w:space="0" w:color="auto"/>
          <w:right w:val="none" w:sz="0" w:space="0" w:color="auto"/>
          <w:insideV w:val="none" w:sz="0" w:space="0" w:color="auto"/>
        </w:tblBorders>
        <w:tblLook w:val="04A0"/>
      </w:tblPr>
      <w:tblGrid>
        <w:gridCol w:w="4160"/>
        <w:gridCol w:w="2242"/>
        <w:gridCol w:w="2782"/>
      </w:tblGrid>
      <w:tr w:rsidR="009A3AFE" w:rsidTr="009A3AFE">
        <w:tc>
          <w:tcPr>
            <w:tcW w:w="5058" w:type="dxa"/>
          </w:tcPr>
          <w:p w:rsidR="009A3AFE" w:rsidRPr="002648EB" w:rsidRDefault="009A3AFE" w:rsidP="009A3AFE">
            <w:pPr>
              <w:rPr>
                <w:b/>
              </w:rPr>
            </w:pPr>
            <w:r w:rsidRPr="002648EB">
              <w:rPr>
                <w:b/>
              </w:rPr>
              <w:t xml:space="preserve">Asset Type </w:t>
            </w:r>
          </w:p>
        </w:tc>
        <w:tc>
          <w:tcPr>
            <w:tcW w:w="2694" w:type="dxa"/>
          </w:tcPr>
          <w:p w:rsidR="009A3AFE" w:rsidRPr="002648EB" w:rsidRDefault="009A3AFE" w:rsidP="009A3AFE">
            <w:pPr>
              <w:jc w:val="center"/>
              <w:rPr>
                <w:b/>
              </w:rPr>
            </w:pPr>
            <w:r w:rsidRPr="002648EB">
              <w:rPr>
                <w:b/>
              </w:rPr>
              <w:t>As at 31 March 2012</w:t>
            </w:r>
          </w:p>
        </w:tc>
        <w:tc>
          <w:tcPr>
            <w:tcW w:w="2544" w:type="dxa"/>
          </w:tcPr>
          <w:p w:rsidR="009A3AFE" w:rsidRPr="002648EB" w:rsidRDefault="009A3AFE" w:rsidP="009A3AFE">
            <w:pPr>
              <w:jc w:val="center"/>
              <w:rPr>
                <w:b/>
              </w:rPr>
            </w:pPr>
            <w:r w:rsidRPr="002648EB">
              <w:rPr>
                <w:b/>
              </w:rPr>
              <w:t>As at 31 March 2011</w:t>
            </w:r>
          </w:p>
        </w:tc>
      </w:tr>
      <w:tr w:rsidR="009A3AFE" w:rsidTr="009A3AFE">
        <w:tc>
          <w:tcPr>
            <w:tcW w:w="5058" w:type="dxa"/>
          </w:tcPr>
          <w:p w:rsidR="009A3AFE" w:rsidRPr="002648EB" w:rsidRDefault="009A3AFE" w:rsidP="009A3AFE">
            <w:pPr>
              <w:rPr>
                <w:b/>
              </w:rPr>
            </w:pPr>
          </w:p>
        </w:tc>
        <w:tc>
          <w:tcPr>
            <w:tcW w:w="2694" w:type="dxa"/>
          </w:tcPr>
          <w:p w:rsidR="009A3AFE" w:rsidRPr="002648EB" w:rsidRDefault="009A3AFE" w:rsidP="009A3AFE">
            <w:pPr>
              <w:jc w:val="right"/>
              <w:rPr>
                <w:b/>
              </w:rPr>
            </w:pPr>
            <w:r w:rsidRPr="002648EB">
              <w:rPr>
                <w:b/>
              </w:rPr>
              <w:t>£</w:t>
            </w:r>
            <w:r>
              <w:rPr>
                <w:b/>
              </w:rPr>
              <w:t>m</w:t>
            </w:r>
          </w:p>
        </w:tc>
        <w:tc>
          <w:tcPr>
            <w:tcW w:w="2544" w:type="dxa"/>
          </w:tcPr>
          <w:p w:rsidR="009A3AFE" w:rsidRPr="002648EB" w:rsidRDefault="009A3AFE" w:rsidP="009A3AFE">
            <w:pPr>
              <w:jc w:val="right"/>
              <w:rPr>
                <w:b/>
              </w:rPr>
            </w:pPr>
            <w:r w:rsidRPr="002648EB">
              <w:rPr>
                <w:b/>
              </w:rPr>
              <w:t>£</w:t>
            </w:r>
            <w:r>
              <w:rPr>
                <w:b/>
              </w:rPr>
              <w:t>m</w:t>
            </w:r>
          </w:p>
        </w:tc>
      </w:tr>
      <w:tr w:rsidR="009A3AFE" w:rsidTr="009A3AFE">
        <w:tc>
          <w:tcPr>
            <w:tcW w:w="5058" w:type="dxa"/>
          </w:tcPr>
          <w:p w:rsidR="009A3AFE" w:rsidRPr="004F15B7" w:rsidRDefault="009A3AFE" w:rsidP="009A3AFE">
            <w:pPr>
              <w:rPr>
                <w:b/>
              </w:rPr>
            </w:pPr>
          </w:p>
        </w:tc>
        <w:tc>
          <w:tcPr>
            <w:tcW w:w="2694" w:type="dxa"/>
          </w:tcPr>
          <w:p w:rsidR="009A3AFE" w:rsidRPr="004F15B7" w:rsidRDefault="009A3AFE" w:rsidP="009A3AFE">
            <w:pPr>
              <w:rPr>
                <w:b/>
              </w:rPr>
            </w:pPr>
          </w:p>
        </w:tc>
        <w:tc>
          <w:tcPr>
            <w:tcW w:w="2544" w:type="dxa"/>
          </w:tcPr>
          <w:p w:rsidR="009A3AFE" w:rsidRDefault="009A3AFE" w:rsidP="009A3AFE"/>
        </w:tc>
      </w:tr>
      <w:tr w:rsidR="009A3AFE" w:rsidTr="009A3AFE">
        <w:tc>
          <w:tcPr>
            <w:tcW w:w="5058" w:type="dxa"/>
          </w:tcPr>
          <w:p w:rsidR="009A3AFE" w:rsidRPr="004F15B7" w:rsidRDefault="009A3AFE" w:rsidP="009A3AFE">
            <w:pPr>
              <w:rPr>
                <w:b/>
              </w:rPr>
            </w:pPr>
            <w:r w:rsidRPr="004F15B7">
              <w:rPr>
                <w:b/>
              </w:rPr>
              <w:t>Cash and cash equivalents</w:t>
            </w:r>
          </w:p>
        </w:tc>
        <w:tc>
          <w:tcPr>
            <w:tcW w:w="2694" w:type="dxa"/>
          </w:tcPr>
          <w:p w:rsidR="009A3AFE" w:rsidRPr="004F15B7" w:rsidRDefault="009A3AFE" w:rsidP="009A3AFE">
            <w:pPr>
              <w:jc w:val="right"/>
            </w:pPr>
            <w:r w:rsidRPr="004F15B7">
              <w:t>126.8</w:t>
            </w:r>
          </w:p>
        </w:tc>
        <w:tc>
          <w:tcPr>
            <w:tcW w:w="2544" w:type="dxa"/>
          </w:tcPr>
          <w:p w:rsidR="009A3AFE" w:rsidRDefault="009A3AFE" w:rsidP="009A3AFE">
            <w:pPr>
              <w:jc w:val="right"/>
            </w:pPr>
            <w:r>
              <w:tab/>
              <w:t>36.6</w:t>
            </w:r>
          </w:p>
        </w:tc>
      </w:tr>
      <w:tr w:rsidR="009A3AFE" w:rsidTr="009A3AFE">
        <w:tc>
          <w:tcPr>
            <w:tcW w:w="5058" w:type="dxa"/>
          </w:tcPr>
          <w:p w:rsidR="009A3AFE" w:rsidRPr="004F15B7" w:rsidRDefault="009A3AFE" w:rsidP="009A3AFE">
            <w:pPr>
              <w:rPr>
                <w:b/>
              </w:rPr>
            </w:pPr>
            <w:r w:rsidRPr="004F15B7">
              <w:rPr>
                <w:b/>
              </w:rPr>
              <w:t xml:space="preserve">Fixed interest securities </w:t>
            </w:r>
          </w:p>
        </w:tc>
        <w:tc>
          <w:tcPr>
            <w:tcW w:w="2694" w:type="dxa"/>
          </w:tcPr>
          <w:p w:rsidR="009A3AFE" w:rsidRPr="004F15B7" w:rsidRDefault="009A3AFE" w:rsidP="009A3AFE">
            <w:pPr>
              <w:jc w:val="right"/>
            </w:pPr>
            <w:r w:rsidRPr="004F15B7">
              <w:t>815.6</w:t>
            </w:r>
          </w:p>
        </w:tc>
        <w:tc>
          <w:tcPr>
            <w:tcW w:w="2544" w:type="dxa"/>
          </w:tcPr>
          <w:p w:rsidR="009A3AFE" w:rsidRDefault="009A3AFE" w:rsidP="009A3AFE">
            <w:pPr>
              <w:jc w:val="right"/>
            </w:pPr>
            <w:r>
              <w:t>700.9</w:t>
            </w:r>
          </w:p>
        </w:tc>
      </w:tr>
      <w:tr w:rsidR="009A3AFE" w:rsidTr="009A3AFE">
        <w:tc>
          <w:tcPr>
            <w:tcW w:w="5058" w:type="dxa"/>
          </w:tcPr>
          <w:p w:rsidR="009A3AFE" w:rsidRPr="004F15B7" w:rsidRDefault="009A3AFE" w:rsidP="009A3AFE">
            <w:pPr>
              <w:rPr>
                <w:b/>
              </w:rPr>
            </w:pPr>
            <w:r w:rsidRPr="004F15B7">
              <w:rPr>
                <w:b/>
              </w:rPr>
              <w:t xml:space="preserve">Total </w:t>
            </w:r>
          </w:p>
        </w:tc>
        <w:tc>
          <w:tcPr>
            <w:tcW w:w="2694" w:type="dxa"/>
          </w:tcPr>
          <w:p w:rsidR="009A3AFE" w:rsidRPr="004F15B7" w:rsidRDefault="009A3AFE" w:rsidP="009A3AFE">
            <w:pPr>
              <w:jc w:val="right"/>
              <w:rPr>
                <w:b/>
              </w:rPr>
            </w:pPr>
            <w:r w:rsidRPr="004F15B7">
              <w:rPr>
                <w:b/>
              </w:rPr>
              <w:t>942.4</w:t>
            </w:r>
          </w:p>
        </w:tc>
        <w:tc>
          <w:tcPr>
            <w:tcW w:w="2544" w:type="dxa"/>
          </w:tcPr>
          <w:p w:rsidR="009A3AFE" w:rsidRPr="004F15B7" w:rsidRDefault="009A3AFE" w:rsidP="009A3AFE">
            <w:pPr>
              <w:jc w:val="right"/>
              <w:rPr>
                <w:b/>
              </w:rPr>
            </w:pPr>
            <w:r w:rsidRPr="004F15B7">
              <w:rPr>
                <w:b/>
              </w:rPr>
              <w:t>737.5</w:t>
            </w:r>
          </w:p>
        </w:tc>
      </w:tr>
    </w:tbl>
    <w:p w:rsidR="009A3AFE" w:rsidRDefault="009A3AFE" w:rsidP="009A3AFE">
      <w:pPr>
        <w:ind w:left="720"/>
      </w:pPr>
    </w:p>
    <w:p w:rsidR="009A3AFE" w:rsidRDefault="009A3AFE" w:rsidP="009A3AFE">
      <w:pPr>
        <w:ind w:left="720"/>
        <w:rPr>
          <w:b/>
        </w:rPr>
      </w:pPr>
      <w:r>
        <w:rPr>
          <w:b/>
        </w:rPr>
        <w:t xml:space="preserve">Interest rate risk sensitivity analysis </w:t>
      </w:r>
    </w:p>
    <w:p w:rsidR="009A3AFE" w:rsidRDefault="009A3AFE" w:rsidP="009A3AFE">
      <w:pPr>
        <w:ind w:left="720"/>
        <w:rPr>
          <w:b/>
        </w:rPr>
      </w:pPr>
    </w:p>
    <w:p w:rsidR="009A3AFE" w:rsidRDefault="009A3AFE" w:rsidP="009A3AFE">
      <w:pPr>
        <w:ind w:left="720"/>
      </w:pPr>
      <w:r>
        <w:t xml:space="preserve">The Fund has recognised that interest rates can vary and can affect both income to the Fund and the value of the net assets available to pay benefits. A 110 basis point (BPS) movement in interest rates is consistent with the level of sensitivity applied as part of the Fund's risk management strategy.  The Fund's investment advisor has advised that long–term average rates are expected to move less than 110 basis point for one year to the next and experience suggests that such movements are likely. </w:t>
      </w:r>
    </w:p>
    <w:p w:rsidR="009A3AFE" w:rsidRDefault="009A3AFE" w:rsidP="009A3AFE">
      <w:pPr>
        <w:ind w:left="720"/>
      </w:pPr>
    </w:p>
    <w:p w:rsidR="009A3AFE" w:rsidRDefault="009A3AFE" w:rsidP="009A3AFE">
      <w:pPr>
        <w:ind w:left="720"/>
      </w:pPr>
      <w:r>
        <w:t xml:space="preserve">The analysis that follows assumes that all other variables, in particular exchange rates, remain constant, and shows the effect in the year on the net assets available to pay benefits of a +/- 100 BPS change in interest rates: </w:t>
      </w:r>
    </w:p>
    <w:p w:rsidR="009A3AFE" w:rsidRDefault="009A3AFE" w:rsidP="009A3AFE">
      <w:pPr>
        <w:ind w:left="720"/>
      </w:pPr>
      <w:r>
        <w:t xml:space="preserve"> </w:t>
      </w:r>
    </w:p>
    <w:p w:rsidR="009A3AFE" w:rsidRDefault="009A3AFE" w:rsidP="009A3AFE">
      <w:pPr>
        <w:ind w:left="720"/>
      </w:pPr>
      <w:r>
        <w:t xml:space="preserve">  </w:t>
      </w:r>
    </w:p>
    <w:tbl>
      <w:tblPr>
        <w:tblStyle w:val="TableGrid"/>
        <w:tblW w:w="0" w:type="auto"/>
        <w:tblInd w:w="720" w:type="dxa"/>
        <w:tblBorders>
          <w:left w:val="none" w:sz="0" w:space="0" w:color="auto"/>
          <w:right w:val="none" w:sz="0" w:space="0" w:color="auto"/>
          <w:insideV w:val="none" w:sz="0" w:space="0" w:color="auto"/>
        </w:tblBorders>
        <w:tblLayout w:type="fixed"/>
        <w:tblLook w:val="04A0"/>
      </w:tblPr>
      <w:tblGrid>
        <w:gridCol w:w="3924"/>
        <w:gridCol w:w="2737"/>
        <w:gridCol w:w="1799"/>
        <w:gridCol w:w="1836"/>
      </w:tblGrid>
      <w:tr w:rsidR="009A3AFE" w:rsidTr="009A3AFE">
        <w:tc>
          <w:tcPr>
            <w:tcW w:w="3924" w:type="dxa"/>
          </w:tcPr>
          <w:p w:rsidR="009A3AFE" w:rsidRPr="002648EB" w:rsidRDefault="009A3AFE" w:rsidP="009A3AFE">
            <w:pPr>
              <w:rPr>
                <w:b/>
              </w:rPr>
            </w:pPr>
            <w:r w:rsidRPr="002648EB">
              <w:rPr>
                <w:b/>
              </w:rPr>
              <w:t xml:space="preserve">Asset Type </w:t>
            </w:r>
          </w:p>
        </w:tc>
        <w:tc>
          <w:tcPr>
            <w:tcW w:w="2737" w:type="dxa"/>
          </w:tcPr>
          <w:p w:rsidR="009A3AFE" w:rsidRPr="002648EB" w:rsidRDefault="009A3AFE" w:rsidP="009A3AFE">
            <w:pPr>
              <w:jc w:val="center"/>
              <w:rPr>
                <w:b/>
              </w:rPr>
            </w:pPr>
            <w:r>
              <w:rPr>
                <w:b/>
              </w:rPr>
              <w:t>Carrying amounts a</w:t>
            </w:r>
            <w:r w:rsidRPr="002648EB">
              <w:rPr>
                <w:b/>
              </w:rPr>
              <w:t>s at 31 March 2012</w:t>
            </w:r>
          </w:p>
        </w:tc>
        <w:tc>
          <w:tcPr>
            <w:tcW w:w="3635" w:type="dxa"/>
            <w:gridSpan w:val="2"/>
          </w:tcPr>
          <w:p w:rsidR="009A3AFE" w:rsidRPr="002648EB" w:rsidRDefault="009A3AFE" w:rsidP="009A3AFE">
            <w:pPr>
              <w:jc w:val="center"/>
              <w:rPr>
                <w:b/>
              </w:rPr>
            </w:pPr>
            <w:r>
              <w:rPr>
                <w:b/>
              </w:rPr>
              <w:t xml:space="preserve">Change in year in net assets available to pay benefits  </w:t>
            </w:r>
          </w:p>
        </w:tc>
      </w:tr>
      <w:tr w:rsidR="009A3AFE" w:rsidTr="009A3AFE">
        <w:tc>
          <w:tcPr>
            <w:tcW w:w="3924" w:type="dxa"/>
          </w:tcPr>
          <w:p w:rsidR="009A3AFE" w:rsidRPr="002648EB" w:rsidRDefault="009A3AFE" w:rsidP="009A3AFE">
            <w:pPr>
              <w:rPr>
                <w:b/>
              </w:rPr>
            </w:pPr>
          </w:p>
        </w:tc>
        <w:tc>
          <w:tcPr>
            <w:tcW w:w="2737" w:type="dxa"/>
          </w:tcPr>
          <w:p w:rsidR="009A3AFE" w:rsidRPr="002648EB" w:rsidRDefault="009A3AFE" w:rsidP="009A3AFE">
            <w:pPr>
              <w:jc w:val="right"/>
              <w:rPr>
                <w:b/>
              </w:rPr>
            </w:pPr>
          </w:p>
        </w:tc>
        <w:tc>
          <w:tcPr>
            <w:tcW w:w="1799" w:type="dxa"/>
          </w:tcPr>
          <w:p w:rsidR="009A3AFE" w:rsidRPr="002648EB" w:rsidRDefault="009A3AFE" w:rsidP="009A3AFE">
            <w:pPr>
              <w:jc w:val="right"/>
              <w:rPr>
                <w:b/>
              </w:rPr>
            </w:pPr>
            <w:r>
              <w:rPr>
                <w:b/>
              </w:rPr>
              <w:t xml:space="preserve">+100BPS  </w:t>
            </w:r>
          </w:p>
        </w:tc>
        <w:tc>
          <w:tcPr>
            <w:tcW w:w="1836" w:type="dxa"/>
          </w:tcPr>
          <w:p w:rsidR="009A3AFE" w:rsidRPr="00432510" w:rsidRDefault="009A3AFE" w:rsidP="009A3AFE">
            <w:pPr>
              <w:jc w:val="right"/>
              <w:rPr>
                <w:b/>
              </w:rPr>
            </w:pPr>
            <w:r w:rsidRPr="00432510">
              <w:rPr>
                <w:b/>
              </w:rPr>
              <w:t xml:space="preserve">-100BPS </w:t>
            </w:r>
          </w:p>
        </w:tc>
      </w:tr>
      <w:tr w:rsidR="009A3AFE" w:rsidTr="009A3AFE">
        <w:tc>
          <w:tcPr>
            <w:tcW w:w="3924" w:type="dxa"/>
          </w:tcPr>
          <w:p w:rsidR="009A3AFE" w:rsidRPr="002648EB" w:rsidRDefault="009A3AFE" w:rsidP="009A3AFE">
            <w:pPr>
              <w:rPr>
                <w:b/>
              </w:rPr>
            </w:pPr>
          </w:p>
        </w:tc>
        <w:tc>
          <w:tcPr>
            <w:tcW w:w="2737" w:type="dxa"/>
          </w:tcPr>
          <w:p w:rsidR="009A3AFE" w:rsidRPr="002648EB" w:rsidRDefault="009A3AFE" w:rsidP="009A3AFE">
            <w:pPr>
              <w:jc w:val="right"/>
              <w:rPr>
                <w:b/>
              </w:rPr>
            </w:pPr>
            <w:r w:rsidRPr="002648EB">
              <w:rPr>
                <w:b/>
              </w:rPr>
              <w:t>£</w:t>
            </w:r>
            <w:r>
              <w:rPr>
                <w:b/>
              </w:rPr>
              <w:t>m</w:t>
            </w:r>
          </w:p>
        </w:tc>
        <w:tc>
          <w:tcPr>
            <w:tcW w:w="1799" w:type="dxa"/>
          </w:tcPr>
          <w:p w:rsidR="009A3AFE" w:rsidRPr="002648EB" w:rsidRDefault="009A3AFE" w:rsidP="009A3AFE">
            <w:pPr>
              <w:jc w:val="right"/>
              <w:rPr>
                <w:b/>
              </w:rPr>
            </w:pPr>
            <w:r w:rsidRPr="002648EB">
              <w:rPr>
                <w:b/>
              </w:rPr>
              <w:t>£</w:t>
            </w:r>
            <w:r>
              <w:rPr>
                <w:b/>
              </w:rPr>
              <w:t>m</w:t>
            </w:r>
          </w:p>
        </w:tc>
        <w:tc>
          <w:tcPr>
            <w:tcW w:w="1836" w:type="dxa"/>
          </w:tcPr>
          <w:p w:rsidR="009A3AFE" w:rsidRPr="002648EB" w:rsidRDefault="009A3AFE" w:rsidP="009A3AFE">
            <w:pPr>
              <w:jc w:val="right"/>
              <w:rPr>
                <w:b/>
              </w:rPr>
            </w:pPr>
            <w:r w:rsidRPr="002648EB">
              <w:rPr>
                <w:b/>
              </w:rPr>
              <w:t>£</w:t>
            </w:r>
            <w:r>
              <w:rPr>
                <w:b/>
              </w:rPr>
              <w:t>m</w:t>
            </w:r>
          </w:p>
        </w:tc>
      </w:tr>
      <w:tr w:rsidR="009A3AFE" w:rsidTr="009A3AFE">
        <w:tc>
          <w:tcPr>
            <w:tcW w:w="3924" w:type="dxa"/>
          </w:tcPr>
          <w:p w:rsidR="009A3AFE" w:rsidRDefault="009A3AFE" w:rsidP="009A3AFE"/>
        </w:tc>
        <w:tc>
          <w:tcPr>
            <w:tcW w:w="2737" w:type="dxa"/>
          </w:tcPr>
          <w:p w:rsidR="009A3AFE" w:rsidRDefault="009A3AFE" w:rsidP="009A3AFE"/>
        </w:tc>
        <w:tc>
          <w:tcPr>
            <w:tcW w:w="1799" w:type="dxa"/>
          </w:tcPr>
          <w:p w:rsidR="009A3AFE" w:rsidRDefault="009A3AFE" w:rsidP="009A3AFE"/>
        </w:tc>
        <w:tc>
          <w:tcPr>
            <w:tcW w:w="1836" w:type="dxa"/>
          </w:tcPr>
          <w:p w:rsidR="009A3AFE" w:rsidRDefault="009A3AFE" w:rsidP="009A3AFE"/>
        </w:tc>
      </w:tr>
      <w:tr w:rsidR="009A3AFE" w:rsidTr="009A3AFE">
        <w:tc>
          <w:tcPr>
            <w:tcW w:w="3924" w:type="dxa"/>
          </w:tcPr>
          <w:p w:rsidR="009A3AFE" w:rsidRDefault="009A3AFE" w:rsidP="009A3AFE">
            <w:r>
              <w:t xml:space="preserve">Cash and cash equivalents  </w:t>
            </w:r>
          </w:p>
        </w:tc>
        <w:tc>
          <w:tcPr>
            <w:tcW w:w="2737" w:type="dxa"/>
          </w:tcPr>
          <w:p w:rsidR="009A3AFE" w:rsidRDefault="009A3AFE" w:rsidP="009A3AFE">
            <w:pPr>
              <w:jc w:val="right"/>
            </w:pPr>
            <w:r>
              <w:t>126.8</w:t>
            </w:r>
          </w:p>
        </w:tc>
        <w:tc>
          <w:tcPr>
            <w:tcW w:w="1799" w:type="dxa"/>
          </w:tcPr>
          <w:p w:rsidR="009A3AFE" w:rsidRDefault="009A3AFE" w:rsidP="009A3AFE">
            <w:pPr>
              <w:jc w:val="right"/>
            </w:pPr>
            <w:r>
              <w:t>1.3</w:t>
            </w:r>
          </w:p>
        </w:tc>
        <w:tc>
          <w:tcPr>
            <w:tcW w:w="1836" w:type="dxa"/>
          </w:tcPr>
          <w:p w:rsidR="009A3AFE" w:rsidRDefault="009A3AFE" w:rsidP="009A3AFE">
            <w:pPr>
              <w:jc w:val="right"/>
            </w:pPr>
            <w:r>
              <w:t>(1.3)</w:t>
            </w:r>
          </w:p>
        </w:tc>
      </w:tr>
      <w:tr w:rsidR="009A3AFE" w:rsidTr="009A3AFE">
        <w:tc>
          <w:tcPr>
            <w:tcW w:w="3924" w:type="dxa"/>
          </w:tcPr>
          <w:p w:rsidR="009A3AFE" w:rsidRDefault="009A3AFE" w:rsidP="009A3AFE">
            <w:r>
              <w:t xml:space="preserve">Fixed interest securities </w:t>
            </w:r>
          </w:p>
        </w:tc>
        <w:tc>
          <w:tcPr>
            <w:tcW w:w="2737" w:type="dxa"/>
          </w:tcPr>
          <w:p w:rsidR="009A3AFE" w:rsidRDefault="009A3AFE" w:rsidP="009A3AFE">
            <w:pPr>
              <w:jc w:val="right"/>
            </w:pPr>
            <w:r>
              <w:t>815.6</w:t>
            </w:r>
          </w:p>
        </w:tc>
        <w:tc>
          <w:tcPr>
            <w:tcW w:w="1799" w:type="dxa"/>
          </w:tcPr>
          <w:p w:rsidR="009A3AFE" w:rsidRDefault="009A3AFE" w:rsidP="009A3AFE">
            <w:pPr>
              <w:jc w:val="right"/>
            </w:pPr>
            <w:r>
              <w:t>8.1</w:t>
            </w:r>
          </w:p>
        </w:tc>
        <w:tc>
          <w:tcPr>
            <w:tcW w:w="1836" w:type="dxa"/>
          </w:tcPr>
          <w:p w:rsidR="009A3AFE" w:rsidRDefault="009A3AFE" w:rsidP="009A3AFE">
            <w:pPr>
              <w:jc w:val="right"/>
            </w:pPr>
            <w:r>
              <w:t>(8.1)</w:t>
            </w:r>
          </w:p>
        </w:tc>
      </w:tr>
      <w:tr w:rsidR="009A3AFE" w:rsidTr="009A3AFE">
        <w:tc>
          <w:tcPr>
            <w:tcW w:w="3924" w:type="dxa"/>
          </w:tcPr>
          <w:p w:rsidR="009A3AFE" w:rsidRPr="002648EB" w:rsidRDefault="009A3AFE" w:rsidP="009A3AFE">
            <w:pPr>
              <w:rPr>
                <w:b/>
              </w:rPr>
            </w:pPr>
            <w:r>
              <w:rPr>
                <w:b/>
              </w:rPr>
              <w:t xml:space="preserve">Total change in asset available </w:t>
            </w:r>
          </w:p>
        </w:tc>
        <w:tc>
          <w:tcPr>
            <w:tcW w:w="2737" w:type="dxa"/>
          </w:tcPr>
          <w:p w:rsidR="009A3AFE" w:rsidRPr="002927C8" w:rsidRDefault="009A3AFE" w:rsidP="009A3AFE">
            <w:pPr>
              <w:jc w:val="right"/>
              <w:rPr>
                <w:b/>
              </w:rPr>
            </w:pPr>
            <w:r w:rsidRPr="002927C8">
              <w:rPr>
                <w:b/>
              </w:rPr>
              <w:t>942.4</w:t>
            </w:r>
          </w:p>
        </w:tc>
        <w:tc>
          <w:tcPr>
            <w:tcW w:w="1799" w:type="dxa"/>
          </w:tcPr>
          <w:p w:rsidR="009A3AFE" w:rsidRPr="003B7B4A" w:rsidRDefault="009A3AFE" w:rsidP="009A3AFE">
            <w:pPr>
              <w:jc w:val="right"/>
              <w:rPr>
                <w:b/>
              </w:rPr>
            </w:pPr>
            <w:r w:rsidRPr="003B7B4A">
              <w:rPr>
                <w:b/>
              </w:rPr>
              <w:t>9.4</w:t>
            </w:r>
          </w:p>
        </w:tc>
        <w:tc>
          <w:tcPr>
            <w:tcW w:w="1836" w:type="dxa"/>
          </w:tcPr>
          <w:p w:rsidR="009A3AFE" w:rsidRPr="003B7B4A" w:rsidRDefault="009A3AFE" w:rsidP="009A3AFE">
            <w:pPr>
              <w:jc w:val="right"/>
              <w:rPr>
                <w:b/>
              </w:rPr>
            </w:pPr>
            <w:r w:rsidRPr="003B7B4A">
              <w:rPr>
                <w:b/>
              </w:rPr>
              <w:t>(9.4)</w:t>
            </w:r>
          </w:p>
        </w:tc>
      </w:tr>
    </w:tbl>
    <w:p w:rsidR="009A3AFE" w:rsidRDefault="009A3AFE" w:rsidP="009A3AFE">
      <w:pPr>
        <w:ind w:left="720"/>
      </w:pPr>
    </w:p>
    <w:p w:rsidR="009A3AFE" w:rsidRDefault="009A3AFE" w:rsidP="009A3AFE">
      <w:pPr>
        <w:ind w:left="720"/>
      </w:pPr>
      <w:r>
        <w:t xml:space="preserve">  </w:t>
      </w:r>
    </w:p>
    <w:tbl>
      <w:tblPr>
        <w:tblStyle w:val="TableGrid"/>
        <w:tblW w:w="0" w:type="auto"/>
        <w:tblInd w:w="720" w:type="dxa"/>
        <w:tblBorders>
          <w:left w:val="none" w:sz="0" w:space="0" w:color="auto"/>
          <w:right w:val="none" w:sz="0" w:space="0" w:color="auto"/>
          <w:insideV w:val="none" w:sz="0" w:space="0" w:color="auto"/>
        </w:tblBorders>
        <w:tblLayout w:type="fixed"/>
        <w:tblLook w:val="04A0"/>
      </w:tblPr>
      <w:tblGrid>
        <w:gridCol w:w="3924"/>
        <w:gridCol w:w="2737"/>
        <w:gridCol w:w="1799"/>
        <w:gridCol w:w="1836"/>
      </w:tblGrid>
      <w:tr w:rsidR="009A3AFE" w:rsidTr="009A3AFE">
        <w:tc>
          <w:tcPr>
            <w:tcW w:w="3924" w:type="dxa"/>
          </w:tcPr>
          <w:p w:rsidR="009A3AFE" w:rsidRPr="002648EB" w:rsidRDefault="009A3AFE" w:rsidP="009A3AFE">
            <w:pPr>
              <w:rPr>
                <w:b/>
              </w:rPr>
            </w:pPr>
            <w:r w:rsidRPr="002648EB">
              <w:rPr>
                <w:b/>
              </w:rPr>
              <w:t xml:space="preserve">Asset Type </w:t>
            </w:r>
          </w:p>
        </w:tc>
        <w:tc>
          <w:tcPr>
            <w:tcW w:w="2737" w:type="dxa"/>
          </w:tcPr>
          <w:p w:rsidR="009A3AFE" w:rsidRPr="002648EB" w:rsidRDefault="009A3AFE" w:rsidP="009A3AFE">
            <w:pPr>
              <w:jc w:val="center"/>
              <w:rPr>
                <w:b/>
              </w:rPr>
            </w:pPr>
            <w:r>
              <w:rPr>
                <w:b/>
              </w:rPr>
              <w:t>Carrying amounts as at 31 March 2011</w:t>
            </w:r>
          </w:p>
        </w:tc>
        <w:tc>
          <w:tcPr>
            <w:tcW w:w="3635" w:type="dxa"/>
            <w:gridSpan w:val="2"/>
          </w:tcPr>
          <w:p w:rsidR="009A3AFE" w:rsidRPr="002648EB" w:rsidRDefault="009A3AFE" w:rsidP="009A3AFE">
            <w:pPr>
              <w:jc w:val="center"/>
              <w:rPr>
                <w:b/>
              </w:rPr>
            </w:pPr>
            <w:r>
              <w:rPr>
                <w:b/>
              </w:rPr>
              <w:t xml:space="preserve">Change in year in net assets available to pay benefits  </w:t>
            </w:r>
          </w:p>
        </w:tc>
      </w:tr>
      <w:tr w:rsidR="009A3AFE" w:rsidTr="009A3AFE">
        <w:tc>
          <w:tcPr>
            <w:tcW w:w="3924" w:type="dxa"/>
          </w:tcPr>
          <w:p w:rsidR="009A3AFE" w:rsidRPr="002648EB" w:rsidRDefault="009A3AFE" w:rsidP="009A3AFE">
            <w:pPr>
              <w:rPr>
                <w:b/>
              </w:rPr>
            </w:pPr>
          </w:p>
        </w:tc>
        <w:tc>
          <w:tcPr>
            <w:tcW w:w="2737" w:type="dxa"/>
          </w:tcPr>
          <w:p w:rsidR="009A3AFE" w:rsidRPr="002648EB" w:rsidRDefault="009A3AFE" w:rsidP="009A3AFE">
            <w:pPr>
              <w:jc w:val="right"/>
              <w:rPr>
                <w:b/>
              </w:rPr>
            </w:pPr>
          </w:p>
        </w:tc>
        <w:tc>
          <w:tcPr>
            <w:tcW w:w="1799" w:type="dxa"/>
          </w:tcPr>
          <w:p w:rsidR="009A3AFE" w:rsidRPr="002648EB" w:rsidRDefault="009A3AFE" w:rsidP="009A3AFE">
            <w:pPr>
              <w:jc w:val="right"/>
              <w:rPr>
                <w:b/>
              </w:rPr>
            </w:pPr>
            <w:r>
              <w:rPr>
                <w:b/>
              </w:rPr>
              <w:t xml:space="preserve">+100BPS  </w:t>
            </w:r>
          </w:p>
        </w:tc>
        <w:tc>
          <w:tcPr>
            <w:tcW w:w="1836" w:type="dxa"/>
          </w:tcPr>
          <w:p w:rsidR="009A3AFE" w:rsidRPr="00432510" w:rsidRDefault="009A3AFE" w:rsidP="009A3AFE">
            <w:pPr>
              <w:jc w:val="right"/>
              <w:rPr>
                <w:b/>
              </w:rPr>
            </w:pPr>
            <w:r w:rsidRPr="00432510">
              <w:rPr>
                <w:b/>
              </w:rPr>
              <w:t xml:space="preserve">-100BPS </w:t>
            </w:r>
          </w:p>
        </w:tc>
      </w:tr>
      <w:tr w:rsidR="009A3AFE" w:rsidTr="009A3AFE">
        <w:tc>
          <w:tcPr>
            <w:tcW w:w="3924" w:type="dxa"/>
          </w:tcPr>
          <w:p w:rsidR="009A3AFE" w:rsidRPr="002648EB" w:rsidRDefault="009A3AFE" w:rsidP="009A3AFE">
            <w:pPr>
              <w:rPr>
                <w:b/>
              </w:rPr>
            </w:pPr>
          </w:p>
        </w:tc>
        <w:tc>
          <w:tcPr>
            <w:tcW w:w="2737" w:type="dxa"/>
          </w:tcPr>
          <w:p w:rsidR="009A3AFE" w:rsidRPr="002648EB" w:rsidRDefault="009A3AFE" w:rsidP="009A3AFE">
            <w:pPr>
              <w:jc w:val="right"/>
              <w:rPr>
                <w:b/>
              </w:rPr>
            </w:pPr>
            <w:r w:rsidRPr="002648EB">
              <w:rPr>
                <w:b/>
              </w:rPr>
              <w:t>£</w:t>
            </w:r>
            <w:r>
              <w:rPr>
                <w:b/>
              </w:rPr>
              <w:t>m</w:t>
            </w:r>
          </w:p>
        </w:tc>
        <w:tc>
          <w:tcPr>
            <w:tcW w:w="1799" w:type="dxa"/>
          </w:tcPr>
          <w:p w:rsidR="009A3AFE" w:rsidRPr="002648EB" w:rsidRDefault="009A3AFE" w:rsidP="009A3AFE">
            <w:pPr>
              <w:jc w:val="right"/>
              <w:rPr>
                <w:b/>
              </w:rPr>
            </w:pPr>
            <w:r w:rsidRPr="002648EB">
              <w:rPr>
                <w:b/>
              </w:rPr>
              <w:t>£</w:t>
            </w:r>
            <w:r>
              <w:rPr>
                <w:b/>
              </w:rPr>
              <w:t>m</w:t>
            </w:r>
          </w:p>
        </w:tc>
        <w:tc>
          <w:tcPr>
            <w:tcW w:w="1836" w:type="dxa"/>
          </w:tcPr>
          <w:p w:rsidR="009A3AFE" w:rsidRPr="002648EB" w:rsidRDefault="009A3AFE" w:rsidP="009A3AFE">
            <w:pPr>
              <w:jc w:val="right"/>
              <w:rPr>
                <w:b/>
              </w:rPr>
            </w:pPr>
            <w:r w:rsidRPr="002648EB">
              <w:rPr>
                <w:b/>
              </w:rPr>
              <w:t>£</w:t>
            </w:r>
            <w:r>
              <w:rPr>
                <w:b/>
              </w:rPr>
              <w:t>m</w:t>
            </w:r>
          </w:p>
        </w:tc>
      </w:tr>
      <w:tr w:rsidR="009A3AFE" w:rsidTr="009A3AFE">
        <w:tc>
          <w:tcPr>
            <w:tcW w:w="3924" w:type="dxa"/>
          </w:tcPr>
          <w:p w:rsidR="009A3AFE" w:rsidRDefault="009A3AFE" w:rsidP="009A3AFE"/>
        </w:tc>
        <w:tc>
          <w:tcPr>
            <w:tcW w:w="2737" w:type="dxa"/>
          </w:tcPr>
          <w:p w:rsidR="009A3AFE" w:rsidRDefault="009A3AFE" w:rsidP="009A3AFE"/>
        </w:tc>
        <w:tc>
          <w:tcPr>
            <w:tcW w:w="1799" w:type="dxa"/>
          </w:tcPr>
          <w:p w:rsidR="009A3AFE" w:rsidRDefault="009A3AFE" w:rsidP="009A3AFE"/>
        </w:tc>
        <w:tc>
          <w:tcPr>
            <w:tcW w:w="1836" w:type="dxa"/>
          </w:tcPr>
          <w:p w:rsidR="009A3AFE" w:rsidRDefault="009A3AFE" w:rsidP="009A3AFE"/>
        </w:tc>
      </w:tr>
      <w:tr w:rsidR="009A3AFE" w:rsidTr="009A3AFE">
        <w:tc>
          <w:tcPr>
            <w:tcW w:w="3924" w:type="dxa"/>
          </w:tcPr>
          <w:p w:rsidR="009A3AFE" w:rsidRDefault="009A3AFE" w:rsidP="009A3AFE">
            <w:r>
              <w:t>Cash and cash equivalents</w:t>
            </w:r>
          </w:p>
        </w:tc>
        <w:tc>
          <w:tcPr>
            <w:tcW w:w="2737" w:type="dxa"/>
          </w:tcPr>
          <w:p w:rsidR="009A3AFE" w:rsidRDefault="009A3AFE" w:rsidP="009A3AFE">
            <w:pPr>
              <w:jc w:val="right"/>
            </w:pPr>
            <w:r>
              <w:t>36.6</w:t>
            </w:r>
          </w:p>
        </w:tc>
        <w:tc>
          <w:tcPr>
            <w:tcW w:w="1799" w:type="dxa"/>
          </w:tcPr>
          <w:p w:rsidR="009A3AFE" w:rsidRDefault="009A3AFE" w:rsidP="009A3AFE">
            <w:pPr>
              <w:jc w:val="right"/>
            </w:pPr>
            <w:r>
              <w:t>0.4</w:t>
            </w:r>
          </w:p>
        </w:tc>
        <w:tc>
          <w:tcPr>
            <w:tcW w:w="1836" w:type="dxa"/>
          </w:tcPr>
          <w:p w:rsidR="009A3AFE" w:rsidRDefault="009A3AFE" w:rsidP="009A3AFE">
            <w:pPr>
              <w:jc w:val="right"/>
            </w:pPr>
            <w:r>
              <w:t>(0.4)</w:t>
            </w:r>
          </w:p>
        </w:tc>
      </w:tr>
      <w:tr w:rsidR="009A3AFE" w:rsidTr="009A3AFE">
        <w:tc>
          <w:tcPr>
            <w:tcW w:w="3924" w:type="dxa"/>
          </w:tcPr>
          <w:p w:rsidR="009A3AFE" w:rsidRDefault="009A3AFE" w:rsidP="009A3AFE">
            <w:r>
              <w:t xml:space="preserve">Fixed interest securities </w:t>
            </w:r>
          </w:p>
        </w:tc>
        <w:tc>
          <w:tcPr>
            <w:tcW w:w="2737" w:type="dxa"/>
          </w:tcPr>
          <w:p w:rsidR="009A3AFE" w:rsidRDefault="009A3AFE" w:rsidP="009A3AFE">
            <w:pPr>
              <w:jc w:val="right"/>
            </w:pPr>
            <w:r>
              <w:t>700.9</w:t>
            </w:r>
          </w:p>
        </w:tc>
        <w:tc>
          <w:tcPr>
            <w:tcW w:w="1799" w:type="dxa"/>
          </w:tcPr>
          <w:p w:rsidR="009A3AFE" w:rsidRDefault="009A3AFE" w:rsidP="009A3AFE">
            <w:pPr>
              <w:jc w:val="right"/>
            </w:pPr>
            <w:r>
              <w:t>7.0</w:t>
            </w:r>
          </w:p>
        </w:tc>
        <w:tc>
          <w:tcPr>
            <w:tcW w:w="1836" w:type="dxa"/>
          </w:tcPr>
          <w:p w:rsidR="009A3AFE" w:rsidRDefault="009A3AFE" w:rsidP="009A3AFE">
            <w:pPr>
              <w:jc w:val="right"/>
            </w:pPr>
            <w:r>
              <w:t>(7.0)</w:t>
            </w:r>
          </w:p>
        </w:tc>
      </w:tr>
      <w:tr w:rsidR="009A3AFE" w:rsidTr="009A3AFE">
        <w:tc>
          <w:tcPr>
            <w:tcW w:w="3924" w:type="dxa"/>
          </w:tcPr>
          <w:p w:rsidR="009A3AFE" w:rsidRPr="002648EB" w:rsidRDefault="009A3AFE" w:rsidP="009A3AFE">
            <w:pPr>
              <w:rPr>
                <w:b/>
              </w:rPr>
            </w:pPr>
            <w:r>
              <w:rPr>
                <w:b/>
              </w:rPr>
              <w:t xml:space="preserve">Total change in asset available </w:t>
            </w:r>
          </w:p>
        </w:tc>
        <w:tc>
          <w:tcPr>
            <w:tcW w:w="2737" w:type="dxa"/>
          </w:tcPr>
          <w:p w:rsidR="009A3AFE" w:rsidRPr="002927C8" w:rsidRDefault="009A3AFE" w:rsidP="009A3AFE">
            <w:pPr>
              <w:jc w:val="right"/>
              <w:rPr>
                <w:b/>
              </w:rPr>
            </w:pPr>
            <w:r w:rsidRPr="002927C8">
              <w:rPr>
                <w:b/>
              </w:rPr>
              <w:t>737.5</w:t>
            </w:r>
          </w:p>
        </w:tc>
        <w:tc>
          <w:tcPr>
            <w:tcW w:w="1799" w:type="dxa"/>
          </w:tcPr>
          <w:p w:rsidR="009A3AFE" w:rsidRPr="003B7B4A" w:rsidRDefault="009A3AFE" w:rsidP="009A3AFE">
            <w:pPr>
              <w:jc w:val="right"/>
              <w:rPr>
                <w:b/>
              </w:rPr>
            </w:pPr>
            <w:r w:rsidRPr="003B7B4A">
              <w:rPr>
                <w:b/>
              </w:rPr>
              <w:t>7.4</w:t>
            </w:r>
          </w:p>
        </w:tc>
        <w:tc>
          <w:tcPr>
            <w:tcW w:w="1836" w:type="dxa"/>
          </w:tcPr>
          <w:p w:rsidR="009A3AFE" w:rsidRPr="003B7B4A" w:rsidRDefault="009A3AFE" w:rsidP="009A3AFE">
            <w:pPr>
              <w:jc w:val="right"/>
              <w:rPr>
                <w:b/>
              </w:rPr>
            </w:pPr>
            <w:r w:rsidRPr="003B7B4A">
              <w:rPr>
                <w:b/>
              </w:rPr>
              <w:t>(7.4)</w:t>
            </w:r>
          </w:p>
        </w:tc>
      </w:tr>
    </w:tbl>
    <w:p w:rsidR="009A3AFE" w:rsidRDefault="009A3AFE" w:rsidP="009A3AFE">
      <w:pPr>
        <w:ind w:left="720"/>
      </w:pPr>
    </w:p>
    <w:p w:rsidR="009A3AFE" w:rsidRPr="00432510" w:rsidRDefault="009A3AFE" w:rsidP="009A3AFE">
      <w:pPr>
        <w:ind w:left="720"/>
        <w:rPr>
          <w:b/>
        </w:rPr>
      </w:pPr>
      <w:r w:rsidRPr="00432510">
        <w:rPr>
          <w:b/>
        </w:rPr>
        <w:t>Currency risk</w:t>
      </w:r>
    </w:p>
    <w:p w:rsidR="009A3AFE" w:rsidRDefault="009A3AFE" w:rsidP="009A3AFE">
      <w:pPr>
        <w:ind w:left="720"/>
      </w:pPr>
    </w:p>
    <w:p w:rsidR="009A3AFE" w:rsidRDefault="009A3AFE" w:rsidP="009A3AFE">
      <w:pPr>
        <w:ind w:left="720"/>
      </w:pPr>
      <w:r>
        <w:t xml:space="preserve">Currency risk represents the risk that the fair value cash flow of a financial instrument will fluctuate because of changes in foreign exchange rates. The Fund is exposed to currency risk on financial instruments that are denominated in any currency other than the functional currency of the Fund (£).  The Fund holds both monetary and non-monetary assets denominated in currencies other than £. </w:t>
      </w:r>
    </w:p>
    <w:p w:rsidR="009A3AFE" w:rsidRDefault="009A3AFE" w:rsidP="009A3AFE">
      <w:pPr>
        <w:ind w:left="720"/>
      </w:pPr>
    </w:p>
    <w:p w:rsidR="009A3AFE" w:rsidRDefault="009A3AFE" w:rsidP="009A3AFE">
      <w:pPr>
        <w:ind w:left="720"/>
      </w:pPr>
      <w:r>
        <w:t xml:space="preserve">The Fund's currency rate risk is routinely monitored by the Fund and its investment advisors in accordance with the Fund's risk management strategy. </w:t>
      </w:r>
    </w:p>
    <w:p w:rsidR="009A3AFE" w:rsidRDefault="009A3AFE" w:rsidP="009A3AFE">
      <w:pPr>
        <w:ind w:left="720"/>
      </w:pPr>
    </w:p>
    <w:p w:rsidR="009A3AFE" w:rsidRDefault="009A3AFE" w:rsidP="009A3AFE">
      <w:pPr>
        <w:ind w:left="720"/>
      </w:pPr>
      <w:r>
        <w:t xml:space="preserve">The following table summarises the Fund's currency exposure as at 31 March 2012 and as at the previous year end:    </w:t>
      </w:r>
    </w:p>
    <w:p w:rsidR="009A3AFE" w:rsidRDefault="009A3AFE" w:rsidP="009A3AFE">
      <w:pPr>
        <w:ind w:left="720"/>
      </w:pPr>
    </w:p>
    <w:tbl>
      <w:tblPr>
        <w:tblStyle w:val="TableGrid"/>
        <w:tblW w:w="0" w:type="auto"/>
        <w:tblInd w:w="720" w:type="dxa"/>
        <w:tblBorders>
          <w:left w:val="none" w:sz="0" w:space="0" w:color="auto"/>
          <w:right w:val="none" w:sz="0" w:space="0" w:color="auto"/>
          <w:insideV w:val="none" w:sz="0" w:space="0" w:color="auto"/>
        </w:tblBorders>
        <w:tblLook w:val="04A0"/>
      </w:tblPr>
      <w:tblGrid>
        <w:gridCol w:w="4964"/>
        <w:gridCol w:w="2058"/>
        <w:gridCol w:w="2162"/>
      </w:tblGrid>
      <w:tr w:rsidR="009A3AFE" w:rsidTr="009A3AFE">
        <w:tc>
          <w:tcPr>
            <w:tcW w:w="5625" w:type="dxa"/>
          </w:tcPr>
          <w:p w:rsidR="009A3AFE" w:rsidRPr="00DD0EE9" w:rsidRDefault="009A3AFE" w:rsidP="009A3AFE">
            <w:pPr>
              <w:rPr>
                <w:b/>
              </w:rPr>
            </w:pPr>
            <w:r w:rsidRPr="00DD0EE9">
              <w:rPr>
                <w:b/>
              </w:rPr>
              <w:t xml:space="preserve">Currency exposure – asset type </w:t>
            </w:r>
          </w:p>
        </w:tc>
        <w:tc>
          <w:tcPr>
            <w:tcW w:w="2268" w:type="dxa"/>
          </w:tcPr>
          <w:p w:rsidR="009A3AFE" w:rsidRPr="00DD0EE9" w:rsidRDefault="009A3AFE" w:rsidP="009A3AFE">
            <w:pPr>
              <w:jc w:val="right"/>
              <w:rPr>
                <w:b/>
              </w:rPr>
            </w:pPr>
            <w:r w:rsidRPr="00DD0EE9">
              <w:rPr>
                <w:b/>
              </w:rPr>
              <w:t xml:space="preserve">Asset value as at </w:t>
            </w:r>
          </w:p>
          <w:p w:rsidR="009A3AFE" w:rsidRPr="00DD0EE9" w:rsidRDefault="009A3AFE" w:rsidP="009A3AFE">
            <w:pPr>
              <w:jc w:val="right"/>
              <w:rPr>
                <w:b/>
              </w:rPr>
            </w:pPr>
            <w:r w:rsidRPr="00DD0EE9">
              <w:rPr>
                <w:b/>
              </w:rPr>
              <w:t>31 March 2012</w:t>
            </w:r>
          </w:p>
        </w:tc>
        <w:tc>
          <w:tcPr>
            <w:tcW w:w="2268" w:type="dxa"/>
          </w:tcPr>
          <w:p w:rsidR="009A3AFE" w:rsidRPr="00DD0EE9" w:rsidRDefault="009A3AFE" w:rsidP="009A3AFE">
            <w:pPr>
              <w:jc w:val="right"/>
              <w:rPr>
                <w:b/>
              </w:rPr>
            </w:pPr>
            <w:r w:rsidRPr="00DD0EE9">
              <w:rPr>
                <w:b/>
              </w:rPr>
              <w:t xml:space="preserve">Asset value as at </w:t>
            </w:r>
          </w:p>
          <w:p w:rsidR="009A3AFE" w:rsidRPr="00DD0EE9" w:rsidRDefault="009A3AFE" w:rsidP="009A3AFE">
            <w:pPr>
              <w:jc w:val="right"/>
              <w:rPr>
                <w:b/>
              </w:rPr>
            </w:pPr>
            <w:r w:rsidRPr="00DD0EE9">
              <w:rPr>
                <w:b/>
              </w:rPr>
              <w:t>31 March 2011</w:t>
            </w:r>
          </w:p>
        </w:tc>
      </w:tr>
      <w:tr w:rsidR="009A3AFE" w:rsidTr="009A3AFE">
        <w:tc>
          <w:tcPr>
            <w:tcW w:w="5625" w:type="dxa"/>
          </w:tcPr>
          <w:p w:rsidR="009A3AFE" w:rsidRDefault="009A3AFE" w:rsidP="009A3AFE"/>
        </w:tc>
        <w:tc>
          <w:tcPr>
            <w:tcW w:w="2268" w:type="dxa"/>
          </w:tcPr>
          <w:p w:rsidR="009A3AFE" w:rsidRPr="00DD0EE9" w:rsidRDefault="009A3AFE" w:rsidP="009A3AFE">
            <w:pPr>
              <w:jc w:val="right"/>
              <w:rPr>
                <w:b/>
              </w:rPr>
            </w:pPr>
            <w:r>
              <w:rPr>
                <w:b/>
              </w:rPr>
              <w:t>£m</w:t>
            </w:r>
          </w:p>
        </w:tc>
        <w:tc>
          <w:tcPr>
            <w:tcW w:w="2268" w:type="dxa"/>
          </w:tcPr>
          <w:p w:rsidR="009A3AFE" w:rsidRPr="00DD0EE9" w:rsidRDefault="009A3AFE" w:rsidP="009A3AFE">
            <w:pPr>
              <w:ind w:left="1038"/>
              <w:jc w:val="right"/>
              <w:rPr>
                <w:b/>
              </w:rPr>
            </w:pPr>
            <w:r>
              <w:rPr>
                <w:b/>
              </w:rPr>
              <w:t>£m</w:t>
            </w:r>
          </w:p>
        </w:tc>
      </w:tr>
      <w:tr w:rsidR="009A3AFE" w:rsidTr="009A3AFE">
        <w:tc>
          <w:tcPr>
            <w:tcW w:w="5625" w:type="dxa"/>
          </w:tcPr>
          <w:p w:rsidR="009A3AFE" w:rsidRDefault="009A3AFE" w:rsidP="009A3AFE">
            <w:r>
              <w:t>Overseas  Equities</w:t>
            </w:r>
          </w:p>
        </w:tc>
        <w:tc>
          <w:tcPr>
            <w:tcW w:w="2268" w:type="dxa"/>
          </w:tcPr>
          <w:p w:rsidR="009A3AFE" w:rsidRDefault="009A3AFE" w:rsidP="009A3AFE">
            <w:pPr>
              <w:jc w:val="right"/>
            </w:pPr>
            <w:r>
              <w:t>1236.9</w:t>
            </w:r>
          </w:p>
        </w:tc>
        <w:tc>
          <w:tcPr>
            <w:tcW w:w="2268" w:type="dxa"/>
          </w:tcPr>
          <w:p w:rsidR="009A3AFE" w:rsidRDefault="009A3AFE" w:rsidP="009A3AFE">
            <w:pPr>
              <w:jc w:val="right"/>
            </w:pPr>
            <w:r>
              <w:t>1385.4</w:t>
            </w:r>
          </w:p>
        </w:tc>
      </w:tr>
      <w:tr w:rsidR="009A3AFE" w:rsidTr="009A3AFE">
        <w:tc>
          <w:tcPr>
            <w:tcW w:w="5625" w:type="dxa"/>
          </w:tcPr>
          <w:p w:rsidR="009A3AFE" w:rsidRDefault="009A3AFE" w:rsidP="009A3AFE">
            <w:r>
              <w:t>Overseas Bonds</w:t>
            </w:r>
          </w:p>
        </w:tc>
        <w:tc>
          <w:tcPr>
            <w:tcW w:w="2268" w:type="dxa"/>
          </w:tcPr>
          <w:p w:rsidR="009A3AFE" w:rsidRDefault="009A3AFE" w:rsidP="009A3AFE">
            <w:pPr>
              <w:jc w:val="right"/>
            </w:pPr>
            <w:r>
              <w:t>100.0</w:t>
            </w:r>
          </w:p>
        </w:tc>
        <w:tc>
          <w:tcPr>
            <w:tcW w:w="2268" w:type="dxa"/>
          </w:tcPr>
          <w:p w:rsidR="009A3AFE" w:rsidRDefault="009A3AFE" w:rsidP="009A3AFE">
            <w:pPr>
              <w:jc w:val="right"/>
            </w:pPr>
            <w:r>
              <w:t>26.9</w:t>
            </w:r>
          </w:p>
        </w:tc>
      </w:tr>
      <w:tr w:rsidR="009A3AFE" w:rsidTr="009A3AFE">
        <w:tc>
          <w:tcPr>
            <w:tcW w:w="5625" w:type="dxa"/>
          </w:tcPr>
          <w:p w:rsidR="009A3AFE" w:rsidRDefault="009A3AFE" w:rsidP="009A3AFE">
            <w:r>
              <w:t>Overseas  Alternatives</w:t>
            </w:r>
          </w:p>
        </w:tc>
        <w:tc>
          <w:tcPr>
            <w:tcW w:w="2268" w:type="dxa"/>
          </w:tcPr>
          <w:p w:rsidR="009A3AFE" w:rsidRDefault="009A3AFE" w:rsidP="009A3AFE">
            <w:pPr>
              <w:jc w:val="right"/>
            </w:pPr>
            <w:r>
              <w:t>187.9</w:t>
            </w:r>
          </w:p>
        </w:tc>
        <w:tc>
          <w:tcPr>
            <w:tcW w:w="2268" w:type="dxa"/>
          </w:tcPr>
          <w:p w:rsidR="009A3AFE" w:rsidRDefault="009A3AFE" w:rsidP="009A3AFE">
            <w:pPr>
              <w:jc w:val="right"/>
            </w:pPr>
            <w:r>
              <w:t>169.8</w:t>
            </w:r>
          </w:p>
        </w:tc>
      </w:tr>
      <w:tr w:rsidR="009A3AFE" w:rsidTr="009A3AFE">
        <w:tc>
          <w:tcPr>
            <w:tcW w:w="5625" w:type="dxa"/>
          </w:tcPr>
          <w:p w:rsidR="009A3AFE" w:rsidRDefault="009A3AFE" w:rsidP="009A3AFE">
            <w:r>
              <w:t>Overseas Pooled</w:t>
            </w:r>
          </w:p>
        </w:tc>
        <w:tc>
          <w:tcPr>
            <w:tcW w:w="2268" w:type="dxa"/>
          </w:tcPr>
          <w:p w:rsidR="009A3AFE" w:rsidRDefault="009A3AFE" w:rsidP="009A3AFE">
            <w:pPr>
              <w:jc w:val="right"/>
            </w:pPr>
            <w:r>
              <w:t>449.6</w:t>
            </w:r>
          </w:p>
        </w:tc>
        <w:tc>
          <w:tcPr>
            <w:tcW w:w="2268" w:type="dxa"/>
          </w:tcPr>
          <w:p w:rsidR="009A3AFE" w:rsidRDefault="009A3AFE" w:rsidP="009A3AFE">
            <w:pPr>
              <w:jc w:val="right"/>
            </w:pPr>
          </w:p>
        </w:tc>
      </w:tr>
      <w:tr w:rsidR="009A3AFE" w:rsidTr="009A3AFE">
        <w:tc>
          <w:tcPr>
            <w:tcW w:w="5625" w:type="dxa"/>
          </w:tcPr>
          <w:p w:rsidR="009A3AFE" w:rsidRPr="00DD0EE9" w:rsidRDefault="009A3AFE" w:rsidP="009A3AFE">
            <w:pPr>
              <w:rPr>
                <w:b/>
              </w:rPr>
            </w:pPr>
            <w:r>
              <w:rPr>
                <w:b/>
              </w:rPr>
              <w:t xml:space="preserve">Total overseas assets </w:t>
            </w:r>
          </w:p>
        </w:tc>
        <w:tc>
          <w:tcPr>
            <w:tcW w:w="2268" w:type="dxa"/>
          </w:tcPr>
          <w:p w:rsidR="009A3AFE" w:rsidRDefault="009A3AFE" w:rsidP="00A25616">
            <w:pPr>
              <w:jc w:val="right"/>
            </w:pPr>
            <w:r>
              <w:t>1974.</w:t>
            </w:r>
            <w:r w:rsidR="00A25616">
              <w:t>4</w:t>
            </w:r>
          </w:p>
        </w:tc>
        <w:tc>
          <w:tcPr>
            <w:tcW w:w="2268" w:type="dxa"/>
          </w:tcPr>
          <w:p w:rsidR="009A3AFE" w:rsidRDefault="009A3AFE" w:rsidP="00A25616">
            <w:pPr>
              <w:jc w:val="right"/>
            </w:pPr>
            <w:r>
              <w:t>1582.</w:t>
            </w:r>
            <w:r w:rsidR="00A25616">
              <w:t>1</w:t>
            </w:r>
          </w:p>
        </w:tc>
      </w:tr>
    </w:tbl>
    <w:p w:rsidR="009A3AFE" w:rsidRDefault="009A3AFE" w:rsidP="009A3AFE">
      <w:pPr>
        <w:ind w:left="720"/>
      </w:pPr>
    </w:p>
    <w:p w:rsidR="00F332F8" w:rsidRDefault="00F332F8" w:rsidP="009A3AFE">
      <w:pPr>
        <w:ind w:left="720"/>
      </w:pPr>
    </w:p>
    <w:p w:rsidR="009A3AFE" w:rsidRPr="00DD0EE9" w:rsidRDefault="009A3AFE" w:rsidP="009A3AFE">
      <w:pPr>
        <w:ind w:left="720"/>
        <w:rPr>
          <w:b/>
        </w:rPr>
      </w:pPr>
      <w:r w:rsidRPr="00DD0EE9">
        <w:rPr>
          <w:b/>
        </w:rPr>
        <w:lastRenderedPageBreak/>
        <w:t xml:space="preserve">Currency risk – sensitivities analysis </w:t>
      </w:r>
    </w:p>
    <w:p w:rsidR="009A3AFE" w:rsidRDefault="009A3AFE" w:rsidP="009A3AFE">
      <w:pPr>
        <w:ind w:left="720"/>
      </w:pPr>
    </w:p>
    <w:p w:rsidR="009A3AFE" w:rsidRDefault="009A3AFE" w:rsidP="009A3AFE">
      <w:pPr>
        <w:ind w:left="720"/>
      </w:pPr>
      <w:r>
        <w:t xml:space="preserve">Following analysis of historical data in consultation with the Fund's investment advisors, the Fund considers the likely volatility associated with foreign exchange rate movement to be 9.7% (as measured by one standard deviation). </w:t>
      </w:r>
    </w:p>
    <w:p w:rsidR="009A3AFE" w:rsidRDefault="009A3AFE" w:rsidP="009A3AFE">
      <w:pPr>
        <w:ind w:left="720"/>
      </w:pPr>
    </w:p>
    <w:p w:rsidR="009A3AFE" w:rsidRDefault="009A3AFE" w:rsidP="009A3AFE">
      <w:pPr>
        <w:ind w:left="720"/>
      </w:pPr>
      <w:r>
        <w:t xml:space="preserve">A 9.7% fluctuation in the currency is considered reasonable based on the Fund advisor's analysis of long-term historical movements in the month-end exchange rates over a rolling 36-month period. </w:t>
      </w:r>
    </w:p>
    <w:p w:rsidR="009A3AFE" w:rsidRDefault="009A3AFE" w:rsidP="009A3AFE">
      <w:pPr>
        <w:ind w:left="720"/>
      </w:pPr>
    </w:p>
    <w:p w:rsidR="009A3AFE" w:rsidRDefault="009A3AFE" w:rsidP="009A3AFE">
      <w:pPr>
        <w:ind w:left="720"/>
      </w:pPr>
      <w:r>
        <w:t xml:space="preserve">This analysis assumes that all other variables, in particular interest rates, remain constant.  </w:t>
      </w:r>
    </w:p>
    <w:p w:rsidR="009A3AFE" w:rsidRDefault="009A3AFE" w:rsidP="009A3AFE">
      <w:pPr>
        <w:ind w:left="720"/>
      </w:pPr>
    </w:p>
    <w:p w:rsidR="009A3AFE" w:rsidRDefault="009A3AFE" w:rsidP="009A3AFE">
      <w:pPr>
        <w:ind w:left="720"/>
      </w:pPr>
      <w:r>
        <w:t xml:space="preserve"> A 9.7% strengthening/weakening of the pound against the various currencies in which the Fund holds investments would increase/decrease the net assets available to pay benefits as follows:</w:t>
      </w:r>
    </w:p>
    <w:p w:rsidR="009A3AFE" w:rsidRDefault="009A3AFE" w:rsidP="009A3AFE">
      <w:pPr>
        <w:ind w:left="720"/>
      </w:pPr>
      <w:r>
        <w:t xml:space="preserve">  </w:t>
      </w:r>
    </w:p>
    <w:tbl>
      <w:tblPr>
        <w:tblStyle w:val="TableGrid"/>
        <w:tblW w:w="10631" w:type="dxa"/>
        <w:tblInd w:w="534" w:type="dxa"/>
        <w:tblBorders>
          <w:left w:val="none" w:sz="0" w:space="0" w:color="auto"/>
          <w:right w:val="none" w:sz="0" w:space="0" w:color="auto"/>
          <w:insideV w:val="none" w:sz="0" w:space="0" w:color="auto"/>
        </w:tblBorders>
        <w:tblLayout w:type="fixed"/>
        <w:tblLook w:val="04A0"/>
      </w:tblPr>
      <w:tblGrid>
        <w:gridCol w:w="4462"/>
        <w:gridCol w:w="2200"/>
        <w:gridCol w:w="1984"/>
        <w:gridCol w:w="1985"/>
      </w:tblGrid>
      <w:tr w:rsidR="009A3AFE" w:rsidTr="009A3AFE">
        <w:tc>
          <w:tcPr>
            <w:tcW w:w="4462" w:type="dxa"/>
          </w:tcPr>
          <w:p w:rsidR="009A3AFE" w:rsidRPr="00DD0EE9" w:rsidRDefault="009A3AFE" w:rsidP="009A3AFE">
            <w:pPr>
              <w:rPr>
                <w:b/>
              </w:rPr>
            </w:pPr>
            <w:r w:rsidRPr="00DD0EE9">
              <w:rPr>
                <w:b/>
              </w:rPr>
              <w:t xml:space="preserve">Currency exposure – asset type </w:t>
            </w:r>
          </w:p>
        </w:tc>
        <w:tc>
          <w:tcPr>
            <w:tcW w:w="2200" w:type="dxa"/>
          </w:tcPr>
          <w:p w:rsidR="009A3AFE" w:rsidRPr="00DD0EE9" w:rsidRDefault="009A3AFE" w:rsidP="009A3AFE">
            <w:pPr>
              <w:jc w:val="right"/>
              <w:rPr>
                <w:b/>
              </w:rPr>
            </w:pPr>
            <w:r w:rsidRPr="00DD0EE9">
              <w:rPr>
                <w:b/>
              </w:rPr>
              <w:t xml:space="preserve">Asset value as at </w:t>
            </w:r>
          </w:p>
          <w:p w:rsidR="009A3AFE" w:rsidRPr="00DD0EE9" w:rsidRDefault="009A3AFE" w:rsidP="009A3AFE">
            <w:pPr>
              <w:jc w:val="right"/>
              <w:rPr>
                <w:b/>
              </w:rPr>
            </w:pPr>
            <w:r w:rsidRPr="00DD0EE9">
              <w:rPr>
                <w:b/>
              </w:rPr>
              <w:t>31 March 2012</w:t>
            </w:r>
          </w:p>
        </w:tc>
        <w:tc>
          <w:tcPr>
            <w:tcW w:w="3969" w:type="dxa"/>
            <w:gridSpan w:val="2"/>
          </w:tcPr>
          <w:p w:rsidR="009A3AFE" w:rsidRPr="00DD0EE9" w:rsidRDefault="009A3AFE" w:rsidP="009A3AFE">
            <w:pPr>
              <w:jc w:val="right"/>
              <w:rPr>
                <w:b/>
              </w:rPr>
            </w:pPr>
            <w:r>
              <w:rPr>
                <w:b/>
              </w:rPr>
              <w:t xml:space="preserve">Change to net assets available to pay benefits </w:t>
            </w:r>
          </w:p>
        </w:tc>
      </w:tr>
      <w:tr w:rsidR="009A3AFE" w:rsidTr="009A3AFE">
        <w:tc>
          <w:tcPr>
            <w:tcW w:w="4462" w:type="dxa"/>
          </w:tcPr>
          <w:p w:rsidR="009A3AFE" w:rsidRDefault="009A3AFE" w:rsidP="009A3AFE"/>
        </w:tc>
        <w:tc>
          <w:tcPr>
            <w:tcW w:w="2200" w:type="dxa"/>
          </w:tcPr>
          <w:p w:rsidR="009A3AFE" w:rsidRPr="00DD0EE9" w:rsidRDefault="009A3AFE" w:rsidP="009A3AFE">
            <w:pPr>
              <w:jc w:val="right"/>
              <w:rPr>
                <w:b/>
              </w:rPr>
            </w:pPr>
          </w:p>
        </w:tc>
        <w:tc>
          <w:tcPr>
            <w:tcW w:w="1984" w:type="dxa"/>
          </w:tcPr>
          <w:p w:rsidR="009A3AFE" w:rsidRPr="00DD0EE9" w:rsidRDefault="009A3AFE" w:rsidP="009A3AFE">
            <w:pPr>
              <w:ind w:left="1038"/>
              <w:jc w:val="right"/>
              <w:rPr>
                <w:b/>
              </w:rPr>
            </w:pPr>
            <w:r>
              <w:rPr>
                <w:b/>
              </w:rPr>
              <w:t>+9.7%</w:t>
            </w:r>
          </w:p>
        </w:tc>
        <w:tc>
          <w:tcPr>
            <w:tcW w:w="1985" w:type="dxa"/>
          </w:tcPr>
          <w:p w:rsidR="009A3AFE" w:rsidRPr="00DD0EE9" w:rsidRDefault="009A3AFE" w:rsidP="009A3AFE">
            <w:pPr>
              <w:jc w:val="right"/>
              <w:rPr>
                <w:b/>
              </w:rPr>
            </w:pPr>
            <w:r>
              <w:rPr>
                <w:b/>
              </w:rPr>
              <w:t>-9.7%</w:t>
            </w:r>
          </w:p>
        </w:tc>
      </w:tr>
      <w:tr w:rsidR="009A3AFE" w:rsidTr="009A3AFE">
        <w:tc>
          <w:tcPr>
            <w:tcW w:w="4462" w:type="dxa"/>
          </w:tcPr>
          <w:p w:rsidR="009A3AFE" w:rsidRDefault="009A3AFE" w:rsidP="009A3AFE"/>
        </w:tc>
        <w:tc>
          <w:tcPr>
            <w:tcW w:w="2200" w:type="dxa"/>
          </w:tcPr>
          <w:p w:rsidR="009A3AFE" w:rsidRPr="00DD0EE9" w:rsidRDefault="009A3AFE" w:rsidP="009A3AFE">
            <w:pPr>
              <w:jc w:val="right"/>
              <w:rPr>
                <w:b/>
              </w:rPr>
            </w:pPr>
            <w:r>
              <w:rPr>
                <w:b/>
              </w:rPr>
              <w:t>£m</w:t>
            </w:r>
          </w:p>
        </w:tc>
        <w:tc>
          <w:tcPr>
            <w:tcW w:w="1984" w:type="dxa"/>
          </w:tcPr>
          <w:p w:rsidR="009A3AFE" w:rsidRPr="00DD0EE9" w:rsidRDefault="009A3AFE" w:rsidP="009A3AFE">
            <w:pPr>
              <w:ind w:left="1038"/>
              <w:jc w:val="right"/>
              <w:rPr>
                <w:b/>
              </w:rPr>
            </w:pPr>
            <w:r>
              <w:rPr>
                <w:b/>
              </w:rPr>
              <w:t>£m</w:t>
            </w:r>
          </w:p>
        </w:tc>
        <w:tc>
          <w:tcPr>
            <w:tcW w:w="1985" w:type="dxa"/>
          </w:tcPr>
          <w:p w:rsidR="009A3AFE" w:rsidRPr="00DD0EE9" w:rsidRDefault="009A3AFE" w:rsidP="009A3AFE">
            <w:pPr>
              <w:ind w:left="1038"/>
              <w:jc w:val="right"/>
              <w:rPr>
                <w:b/>
              </w:rPr>
            </w:pPr>
            <w:r>
              <w:rPr>
                <w:b/>
              </w:rPr>
              <w:t>£m</w:t>
            </w:r>
          </w:p>
        </w:tc>
      </w:tr>
      <w:tr w:rsidR="009A3AFE" w:rsidTr="009A3AFE">
        <w:tc>
          <w:tcPr>
            <w:tcW w:w="4462" w:type="dxa"/>
          </w:tcPr>
          <w:p w:rsidR="009A3AFE" w:rsidRDefault="009A3AFE" w:rsidP="009A3AFE">
            <w:r>
              <w:t xml:space="preserve">Overseas Equities </w:t>
            </w:r>
          </w:p>
        </w:tc>
        <w:tc>
          <w:tcPr>
            <w:tcW w:w="2200" w:type="dxa"/>
          </w:tcPr>
          <w:p w:rsidR="009A3AFE" w:rsidRDefault="009A3AFE" w:rsidP="009A3AFE">
            <w:pPr>
              <w:jc w:val="right"/>
            </w:pPr>
            <w:r>
              <w:t>1,236.9</w:t>
            </w:r>
          </w:p>
        </w:tc>
        <w:tc>
          <w:tcPr>
            <w:tcW w:w="1984" w:type="dxa"/>
          </w:tcPr>
          <w:p w:rsidR="009A3AFE" w:rsidRDefault="009A3AFE" w:rsidP="009A3AFE">
            <w:pPr>
              <w:jc w:val="right"/>
            </w:pPr>
            <w:r>
              <w:t>1357.0</w:t>
            </w:r>
          </w:p>
        </w:tc>
        <w:tc>
          <w:tcPr>
            <w:tcW w:w="1985" w:type="dxa"/>
          </w:tcPr>
          <w:p w:rsidR="009A3AFE" w:rsidRDefault="009A3AFE" w:rsidP="009A3AFE">
            <w:pPr>
              <w:jc w:val="right"/>
            </w:pPr>
            <w:r>
              <w:t>1,116.8</w:t>
            </w:r>
          </w:p>
        </w:tc>
      </w:tr>
      <w:tr w:rsidR="009A3AFE" w:rsidTr="009A3AFE">
        <w:tc>
          <w:tcPr>
            <w:tcW w:w="4462" w:type="dxa"/>
          </w:tcPr>
          <w:p w:rsidR="009A3AFE" w:rsidRDefault="009A3AFE" w:rsidP="009A3AFE">
            <w:r>
              <w:t xml:space="preserve">Overseas Bonds </w:t>
            </w:r>
          </w:p>
        </w:tc>
        <w:tc>
          <w:tcPr>
            <w:tcW w:w="2200" w:type="dxa"/>
          </w:tcPr>
          <w:p w:rsidR="009A3AFE" w:rsidRDefault="009A3AFE" w:rsidP="009A3AFE">
            <w:pPr>
              <w:jc w:val="right"/>
            </w:pPr>
            <w:r>
              <w:t>100.0</w:t>
            </w:r>
          </w:p>
        </w:tc>
        <w:tc>
          <w:tcPr>
            <w:tcW w:w="1984" w:type="dxa"/>
          </w:tcPr>
          <w:p w:rsidR="009A3AFE" w:rsidRDefault="009A3AFE" w:rsidP="009A3AFE">
            <w:pPr>
              <w:jc w:val="right"/>
            </w:pPr>
            <w:r>
              <w:t>109.7</w:t>
            </w:r>
          </w:p>
        </w:tc>
        <w:tc>
          <w:tcPr>
            <w:tcW w:w="1985" w:type="dxa"/>
          </w:tcPr>
          <w:p w:rsidR="009A3AFE" w:rsidRDefault="009A3AFE" w:rsidP="009A3AFE">
            <w:pPr>
              <w:jc w:val="right"/>
            </w:pPr>
            <w:r>
              <w:t>90.3</w:t>
            </w:r>
          </w:p>
        </w:tc>
      </w:tr>
      <w:tr w:rsidR="009A3AFE" w:rsidTr="009A3AFE">
        <w:tc>
          <w:tcPr>
            <w:tcW w:w="4462" w:type="dxa"/>
          </w:tcPr>
          <w:p w:rsidR="009A3AFE" w:rsidRDefault="009A3AFE" w:rsidP="009A3AFE">
            <w:r>
              <w:t xml:space="preserve">Overseas Alternatives </w:t>
            </w:r>
          </w:p>
        </w:tc>
        <w:tc>
          <w:tcPr>
            <w:tcW w:w="2200" w:type="dxa"/>
          </w:tcPr>
          <w:p w:rsidR="009A3AFE" w:rsidRDefault="009A3AFE" w:rsidP="009A3AFE">
            <w:pPr>
              <w:jc w:val="right"/>
            </w:pPr>
            <w:r>
              <w:t>187.9</w:t>
            </w:r>
          </w:p>
        </w:tc>
        <w:tc>
          <w:tcPr>
            <w:tcW w:w="1984" w:type="dxa"/>
          </w:tcPr>
          <w:p w:rsidR="009A3AFE" w:rsidRDefault="009A3AFE" w:rsidP="009A3AFE">
            <w:pPr>
              <w:jc w:val="right"/>
            </w:pPr>
            <w:r>
              <w:t>206.2</w:t>
            </w:r>
          </w:p>
        </w:tc>
        <w:tc>
          <w:tcPr>
            <w:tcW w:w="1985" w:type="dxa"/>
          </w:tcPr>
          <w:p w:rsidR="009A3AFE" w:rsidRDefault="009A3AFE" w:rsidP="009A3AFE">
            <w:pPr>
              <w:jc w:val="right"/>
            </w:pPr>
            <w:r>
              <w:t>169.7</w:t>
            </w:r>
          </w:p>
        </w:tc>
      </w:tr>
      <w:tr w:rsidR="009A3AFE" w:rsidTr="009A3AFE">
        <w:tc>
          <w:tcPr>
            <w:tcW w:w="4462" w:type="dxa"/>
          </w:tcPr>
          <w:p w:rsidR="009A3AFE" w:rsidRDefault="009A3AFE" w:rsidP="009A3AFE">
            <w:r>
              <w:t>Overseas Pooled</w:t>
            </w:r>
          </w:p>
        </w:tc>
        <w:tc>
          <w:tcPr>
            <w:tcW w:w="2200" w:type="dxa"/>
          </w:tcPr>
          <w:p w:rsidR="009A3AFE" w:rsidRDefault="009A3AFE" w:rsidP="009A3AFE">
            <w:pPr>
              <w:jc w:val="right"/>
            </w:pPr>
            <w:r>
              <w:t>449.6</w:t>
            </w:r>
          </w:p>
        </w:tc>
        <w:tc>
          <w:tcPr>
            <w:tcW w:w="1984" w:type="dxa"/>
          </w:tcPr>
          <w:p w:rsidR="009A3AFE" w:rsidRDefault="009A3AFE" w:rsidP="009A3AFE">
            <w:pPr>
              <w:jc w:val="right"/>
            </w:pPr>
            <w:r>
              <w:t>493.3</w:t>
            </w:r>
          </w:p>
        </w:tc>
        <w:tc>
          <w:tcPr>
            <w:tcW w:w="1985" w:type="dxa"/>
          </w:tcPr>
          <w:p w:rsidR="009A3AFE" w:rsidRDefault="009A3AFE" w:rsidP="009A3AFE">
            <w:pPr>
              <w:jc w:val="right"/>
            </w:pPr>
            <w:r>
              <w:t>406.0</w:t>
            </w:r>
          </w:p>
        </w:tc>
      </w:tr>
      <w:tr w:rsidR="009A3AFE" w:rsidTr="009A3AFE">
        <w:tc>
          <w:tcPr>
            <w:tcW w:w="4462" w:type="dxa"/>
          </w:tcPr>
          <w:p w:rsidR="009A3AFE" w:rsidRPr="00DD0EE9" w:rsidRDefault="009A3AFE" w:rsidP="009A3AFE">
            <w:pPr>
              <w:rPr>
                <w:b/>
              </w:rPr>
            </w:pPr>
            <w:r>
              <w:rPr>
                <w:b/>
              </w:rPr>
              <w:t xml:space="preserve">Total change in assets available  </w:t>
            </w:r>
          </w:p>
        </w:tc>
        <w:tc>
          <w:tcPr>
            <w:tcW w:w="2200" w:type="dxa"/>
          </w:tcPr>
          <w:p w:rsidR="009A3AFE" w:rsidRDefault="009A3AFE" w:rsidP="00A25616">
            <w:pPr>
              <w:jc w:val="right"/>
            </w:pPr>
            <w:r>
              <w:t>1,974.</w:t>
            </w:r>
            <w:r w:rsidR="00A25616">
              <w:t>4</w:t>
            </w:r>
          </w:p>
        </w:tc>
        <w:tc>
          <w:tcPr>
            <w:tcW w:w="1984" w:type="dxa"/>
          </w:tcPr>
          <w:p w:rsidR="009A3AFE" w:rsidRDefault="009A3AFE" w:rsidP="00A25616">
            <w:pPr>
              <w:jc w:val="right"/>
            </w:pPr>
            <w:r>
              <w:t>2,166.</w:t>
            </w:r>
            <w:r w:rsidR="00A25616">
              <w:t>2</w:t>
            </w:r>
          </w:p>
        </w:tc>
        <w:tc>
          <w:tcPr>
            <w:tcW w:w="1985" w:type="dxa"/>
          </w:tcPr>
          <w:p w:rsidR="009A3AFE" w:rsidRDefault="009A3AFE" w:rsidP="00A25616">
            <w:pPr>
              <w:jc w:val="right"/>
            </w:pPr>
            <w:r>
              <w:t>1,78</w:t>
            </w:r>
            <w:r w:rsidR="00A25616">
              <w:t>2</w:t>
            </w:r>
            <w:r>
              <w:t>.</w:t>
            </w:r>
            <w:r w:rsidR="00A25616">
              <w:t>8</w:t>
            </w:r>
          </w:p>
        </w:tc>
      </w:tr>
    </w:tbl>
    <w:p w:rsidR="009A3AFE" w:rsidRDefault="009A3AFE" w:rsidP="009A3AFE">
      <w:pPr>
        <w:ind w:left="720"/>
      </w:pPr>
    </w:p>
    <w:p w:rsidR="009A3AFE" w:rsidRDefault="009A3AFE" w:rsidP="009A3AFE">
      <w:pPr>
        <w:ind w:left="720"/>
      </w:pPr>
      <w:r>
        <w:t xml:space="preserve">  </w:t>
      </w:r>
    </w:p>
    <w:tbl>
      <w:tblPr>
        <w:tblStyle w:val="TableGrid"/>
        <w:tblW w:w="10631" w:type="dxa"/>
        <w:tblInd w:w="534" w:type="dxa"/>
        <w:tblBorders>
          <w:left w:val="none" w:sz="0" w:space="0" w:color="auto"/>
          <w:right w:val="none" w:sz="0" w:space="0" w:color="auto"/>
          <w:insideV w:val="none" w:sz="0" w:space="0" w:color="auto"/>
        </w:tblBorders>
        <w:tblLayout w:type="fixed"/>
        <w:tblLook w:val="04A0"/>
      </w:tblPr>
      <w:tblGrid>
        <w:gridCol w:w="4462"/>
        <w:gridCol w:w="2200"/>
        <w:gridCol w:w="1984"/>
        <w:gridCol w:w="1985"/>
      </w:tblGrid>
      <w:tr w:rsidR="009A3AFE" w:rsidTr="009A3AFE">
        <w:tc>
          <w:tcPr>
            <w:tcW w:w="4462" w:type="dxa"/>
          </w:tcPr>
          <w:p w:rsidR="009A3AFE" w:rsidRPr="00DD0EE9" w:rsidRDefault="009A3AFE" w:rsidP="009A3AFE">
            <w:pPr>
              <w:rPr>
                <w:b/>
              </w:rPr>
            </w:pPr>
            <w:r w:rsidRPr="00DD0EE9">
              <w:rPr>
                <w:b/>
              </w:rPr>
              <w:t xml:space="preserve">Currency exposure – asset type </w:t>
            </w:r>
          </w:p>
        </w:tc>
        <w:tc>
          <w:tcPr>
            <w:tcW w:w="2200" w:type="dxa"/>
          </w:tcPr>
          <w:p w:rsidR="009A3AFE" w:rsidRPr="00DD0EE9" w:rsidRDefault="009A3AFE" w:rsidP="009A3AFE">
            <w:pPr>
              <w:jc w:val="right"/>
              <w:rPr>
                <w:b/>
              </w:rPr>
            </w:pPr>
            <w:r w:rsidRPr="00DD0EE9">
              <w:rPr>
                <w:b/>
              </w:rPr>
              <w:t xml:space="preserve">Asset value as at </w:t>
            </w:r>
          </w:p>
          <w:p w:rsidR="009A3AFE" w:rsidRPr="00DD0EE9" w:rsidRDefault="009A3AFE" w:rsidP="009A3AFE">
            <w:pPr>
              <w:jc w:val="right"/>
              <w:rPr>
                <w:b/>
              </w:rPr>
            </w:pPr>
            <w:r>
              <w:rPr>
                <w:b/>
              </w:rPr>
              <w:t>31 March 2011</w:t>
            </w:r>
          </w:p>
        </w:tc>
        <w:tc>
          <w:tcPr>
            <w:tcW w:w="3969" w:type="dxa"/>
            <w:gridSpan w:val="2"/>
          </w:tcPr>
          <w:p w:rsidR="009A3AFE" w:rsidRPr="00DD0EE9" w:rsidRDefault="009A3AFE" w:rsidP="009A3AFE">
            <w:pPr>
              <w:jc w:val="right"/>
              <w:rPr>
                <w:b/>
              </w:rPr>
            </w:pPr>
            <w:r>
              <w:rPr>
                <w:b/>
              </w:rPr>
              <w:t xml:space="preserve">Change to net assets available to pay benefits </w:t>
            </w:r>
          </w:p>
        </w:tc>
      </w:tr>
      <w:tr w:rsidR="009A3AFE" w:rsidTr="009A3AFE">
        <w:tc>
          <w:tcPr>
            <w:tcW w:w="4462" w:type="dxa"/>
          </w:tcPr>
          <w:p w:rsidR="009A3AFE" w:rsidRDefault="009A3AFE" w:rsidP="009A3AFE"/>
        </w:tc>
        <w:tc>
          <w:tcPr>
            <w:tcW w:w="2200" w:type="dxa"/>
          </w:tcPr>
          <w:p w:rsidR="009A3AFE" w:rsidRPr="00DD0EE9" w:rsidRDefault="009A3AFE" w:rsidP="009A3AFE">
            <w:pPr>
              <w:jc w:val="right"/>
              <w:rPr>
                <w:b/>
              </w:rPr>
            </w:pPr>
          </w:p>
        </w:tc>
        <w:tc>
          <w:tcPr>
            <w:tcW w:w="1984" w:type="dxa"/>
          </w:tcPr>
          <w:p w:rsidR="009A3AFE" w:rsidRPr="00DD0EE9" w:rsidRDefault="009A3AFE" w:rsidP="009A3AFE">
            <w:pPr>
              <w:ind w:left="1038"/>
              <w:jc w:val="right"/>
              <w:rPr>
                <w:b/>
              </w:rPr>
            </w:pPr>
            <w:r>
              <w:rPr>
                <w:b/>
              </w:rPr>
              <w:t>+9.7%</w:t>
            </w:r>
          </w:p>
        </w:tc>
        <w:tc>
          <w:tcPr>
            <w:tcW w:w="1985" w:type="dxa"/>
          </w:tcPr>
          <w:p w:rsidR="009A3AFE" w:rsidRPr="00DD0EE9" w:rsidRDefault="009A3AFE" w:rsidP="009A3AFE">
            <w:pPr>
              <w:jc w:val="right"/>
              <w:rPr>
                <w:b/>
              </w:rPr>
            </w:pPr>
            <w:r>
              <w:rPr>
                <w:b/>
              </w:rPr>
              <w:t>-9.7%</w:t>
            </w:r>
          </w:p>
        </w:tc>
      </w:tr>
      <w:tr w:rsidR="009A3AFE" w:rsidTr="009A3AFE">
        <w:tc>
          <w:tcPr>
            <w:tcW w:w="4462" w:type="dxa"/>
          </w:tcPr>
          <w:p w:rsidR="009A3AFE" w:rsidRDefault="009A3AFE" w:rsidP="009A3AFE"/>
        </w:tc>
        <w:tc>
          <w:tcPr>
            <w:tcW w:w="2200" w:type="dxa"/>
          </w:tcPr>
          <w:p w:rsidR="009A3AFE" w:rsidRPr="00DD0EE9" w:rsidRDefault="009A3AFE" w:rsidP="009A3AFE">
            <w:pPr>
              <w:jc w:val="right"/>
              <w:rPr>
                <w:b/>
              </w:rPr>
            </w:pPr>
            <w:r>
              <w:rPr>
                <w:b/>
              </w:rPr>
              <w:t>£m</w:t>
            </w:r>
          </w:p>
        </w:tc>
        <w:tc>
          <w:tcPr>
            <w:tcW w:w="1984" w:type="dxa"/>
          </w:tcPr>
          <w:p w:rsidR="009A3AFE" w:rsidRPr="00DD0EE9" w:rsidRDefault="009A3AFE" w:rsidP="009A3AFE">
            <w:pPr>
              <w:ind w:left="1038"/>
              <w:jc w:val="right"/>
              <w:rPr>
                <w:b/>
              </w:rPr>
            </w:pPr>
            <w:r>
              <w:rPr>
                <w:b/>
              </w:rPr>
              <w:t>£m</w:t>
            </w:r>
          </w:p>
        </w:tc>
        <w:tc>
          <w:tcPr>
            <w:tcW w:w="1985" w:type="dxa"/>
          </w:tcPr>
          <w:p w:rsidR="009A3AFE" w:rsidRPr="00DD0EE9" w:rsidRDefault="009A3AFE" w:rsidP="009A3AFE">
            <w:pPr>
              <w:ind w:left="1038"/>
              <w:jc w:val="right"/>
              <w:rPr>
                <w:b/>
              </w:rPr>
            </w:pPr>
            <w:r>
              <w:rPr>
                <w:b/>
              </w:rPr>
              <w:t>£m</w:t>
            </w:r>
          </w:p>
        </w:tc>
      </w:tr>
      <w:tr w:rsidR="009A3AFE" w:rsidTr="009A3AFE">
        <w:tc>
          <w:tcPr>
            <w:tcW w:w="4462" w:type="dxa"/>
          </w:tcPr>
          <w:p w:rsidR="009A3AFE" w:rsidRDefault="009A3AFE" w:rsidP="009A3AFE">
            <w:r>
              <w:t xml:space="preserve">Overseas Equities </w:t>
            </w:r>
          </w:p>
        </w:tc>
        <w:tc>
          <w:tcPr>
            <w:tcW w:w="2200" w:type="dxa"/>
          </w:tcPr>
          <w:p w:rsidR="009A3AFE" w:rsidRDefault="009A3AFE" w:rsidP="009A3AFE">
            <w:pPr>
              <w:jc w:val="right"/>
            </w:pPr>
            <w:r>
              <w:t>1,385.4</w:t>
            </w:r>
          </w:p>
        </w:tc>
        <w:tc>
          <w:tcPr>
            <w:tcW w:w="1984" w:type="dxa"/>
          </w:tcPr>
          <w:p w:rsidR="009A3AFE" w:rsidRDefault="009A3AFE" w:rsidP="009A3AFE">
            <w:pPr>
              <w:jc w:val="right"/>
            </w:pPr>
            <w:r>
              <w:t>1,520.3</w:t>
            </w:r>
          </w:p>
        </w:tc>
        <w:tc>
          <w:tcPr>
            <w:tcW w:w="1985" w:type="dxa"/>
          </w:tcPr>
          <w:p w:rsidR="009A3AFE" w:rsidRDefault="009A3AFE" w:rsidP="009A3AFE">
            <w:pPr>
              <w:jc w:val="right"/>
            </w:pPr>
            <w:r>
              <w:t>1,250.5</w:t>
            </w:r>
          </w:p>
        </w:tc>
      </w:tr>
      <w:tr w:rsidR="009A3AFE" w:rsidTr="009A3AFE">
        <w:tc>
          <w:tcPr>
            <w:tcW w:w="4462" w:type="dxa"/>
          </w:tcPr>
          <w:p w:rsidR="009A3AFE" w:rsidRDefault="009A3AFE" w:rsidP="009A3AFE">
            <w:r>
              <w:t>Overseas Bonds</w:t>
            </w:r>
          </w:p>
        </w:tc>
        <w:tc>
          <w:tcPr>
            <w:tcW w:w="2200" w:type="dxa"/>
          </w:tcPr>
          <w:p w:rsidR="009A3AFE" w:rsidRDefault="009A3AFE" w:rsidP="009A3AFE">
            <w:pPr>
              <w:jc w:val="right"/>
            </w:pPr>
            <w:r>
              <w:t>26.9</w:t>
            </w:r>
          </w:p>
        </w:tc>
        <w:tc>
          <w:tcPr>
            <w:tcW w:w="1984" w:type="dxa"/>
          </w:tcPr>
          <w:p w:rsidR="009A3AFE" w:rsidRDefault="009A3AFE" w:rsidP="009A3AFE">
            <w:pPr>
              <w:jc w:val="right"/>
            </w:pPr>
            <w:r>
              <w:t>29.5</w:t>
            </w:r>
          </w:p>
        </w:tc>
        <w:tc>
          <w:tcPr>
            <w:tcW w:w="1985" w:type="dxa"/>
          </w:tcPr>
          <w:p w:rsidR="009A3AFE" w:rsidRDefault="009A3AFE" w:rsidP="009A3AFE">
            <w:pPr>
              <w:jc w:val="right"/>
            </w:pPr>
            <w:r>
              <w:t>24.3</w:t>
            </w:r>
          </w:p>
        </w:tc>
      </w:tr>
      <w:tr w:rsidR="009A3AFE" w:rsidTr="009A3AFE">
        <w:tc>
          <w:tcPr>
            <w:tcW w:w="4462" w:type="dxa"/>
          </w:tcPr>
          <w:p w:rsidR="009A3AFE" w:rsidRDefault="009A3AFE" w:rsidP="009A3AFE">
            <w:r>
              <w:t xml:space="preserve">Overseas Alternatives </w:t>
            </w:r>
          </w:p>
        </w:tc>
        <w:tc>
          <w:tcPr>
            <w:tcW w:w="2200" w:type="dxa"/>
          </w:tcPr>
          <w:p w:rsidR="009A3AFE" w:rsidRDefault="009A3AFE" w:rsidP="009A3AFE">
            <w:pPr>
              <w:jc w:val="right"/>
            </w:pPr>
            <w:r>
              <w:t>0.0</w:t>
            </w:r>
          </w:p>
        </w:tc>
        <w:tc>
          <w:tcPr>
            <w:tcW w:w="1984" w:type="dxa"/>
          </w:tcPr>
          <w:p w:rsidR="009A3AFE" w:rsidRDefault="009A3AFE" w:rsidP="009A3AFE">
            <w:pPr>
              <w:jc w:val="right"/>
            </w:pPr>
            <w:r>
              <w:t>0.0</w:t>
            </w:r>
          </w:p>
        </w:tc>
        <w:tc>
          <w:tcPr>
            <w:tcW w:w="1985" w:type="dxa"/>
          </w:tcPr>
          <w:p w:rsidR="009A3AFE" w:rsidRDefault="009A3AFE" w:rsidP="009A3AFE">
            <w:pPr>
              <w:jc w:val="right"/>
            </w:pPr>
            <w:r>
              <w:t>0.0</w:t>
            </w:r>
          </w:p>
        </w:tc>
      </w:tr>
      <w:tr w:rsidR="009A3AFE" w:rsidTr="009A3AFE">
        <w:tc>
          <w:tcPr>
            <w:tcW w:w="4462" w:type="dxa"/>
          </w:tcPr>
          <w:p w:rsidR="009A3AFE" w:rsidRDefault="009A3AFE" w:rsidP="009A3AFE">
            <w:r>
              <w:t xml:space="preserve">Overseas Pooled </w:t>
            </w:r>
          </w:p>
        </w:tc>
        <w:tc>
          <w:tcPr>
            <w:tcW w:w="2200" w:type="dxa"/>
          </w:tcPr>
          <w:p w:rsidR="009A3AFE" w:rsidRDefault="009A3AFE" w:rsidP="009A3AFE">
            <w:pPr>
              <w:jc w:val="right"/>
            </w:pPr>
            <w:r>
              <w:t>169.8</w:t>
            </w:r>
          </w:p>
        </w:tc>
        <w:tc>
          <w:tcPr>
            <w:tcW w:w="1984" w:type="dxa"/>
          </w:tcPr>
          <w:p w:rsidR="009A3AFE" w:rsidRDefault="009A3AFE" w:rsidP="009A3AFE">
            <w:pPr>
              <w:jc w:val="right"/>
            </w:pPr>
            <w:r>
              <w:t>186.3</w:t>
            </w:r>
          </w:p>
        </w:tc>
        <w:tc>
          <w:tcPr>
            <w:tcW w:w="1985" w:type="dxa"/>
          </w:tcPr>
          <w:p w:rsidR="009A3AFE" w:rsidRDefault="009A3AFE" w:rsidP="009A3AFE">
            <w:pPr>
              <w:jc w:val="right"/>
            </w:pPr>
            <w:r>
              <w:t>153.3</w:t>
            </w:r>
          </w:p>
        </w:tc>
      </w:tr>
      <w:tr w:rsidR="009A3AFE" w:rsidTr="009A3AFE">
        <w:tc>
          <w:tcPr>
            <w:tcW w:w="4462" w:type="dxa"/>
          </w:tcPr>
          <w:p w:rsidR="009A3AFE" w:rsidRPr="00DD0EE9" w:rsidRDefault="009A3AFE" w:rsidP="009A3AFE">
            <w:pPr>
              <w:rPr>
                <w:b/>
              </w:rPr>
            </w:pPr>
            <w:r>
              <w:rPr>
                <w:b/>
              </w:rPr>
              <w:t xml:space="preserve">Total change in assets available  </w:t>
            </w:r>
          </w:p>
        </w:tc>
        <w:tc>
          <w:tcPr>
            <w:tcW w:w="2200" w:type="dxa"/>
          </w:tcPr>
          <w:p w:rsidR="009A3AFE" w:rsidRDefault="009A3AFE" w:rsidP="00A25616">
            <w:pPr>
              <w:jc w:val="right"/>
            </w:pPr>
            <w:r>
              <w:t>1,582.</w:t>
            </w:r>
            <w:r w:rsidR="00A25616">
              <w:t>1</w:t>
            </w:r>
          </w:p>
        </w:tc>
        <w:tc>
          <w:tcPr>
            <w:tcW w:w="1984" w:type="dxa"/>
          </w:tcPr>
          <w:p w:rsidR="009A3AFE" w:rsidRDefault="009A3AFE" w:rsidP="00A25616">
            <w:pPr>
              <w:jc w:val="right"/>
            </w:pPr>
            <w:r>
              <w:t>1,736.</w:t>
            </w:r>
            <w:r w:rsidR="00A25616">
              <w:t>1</w:t>
            </w:r>
          </w:p>
        </w:tc>
        <w:tc>
          <w:tcPr>
            <w:tcW w:w="1985" w:type="dxa"/>
          </w:tcPr>
          <w:p w:rsidR="009A3AFE" w:rsidRDefault="009A3AFE" w:rsidP="009A3AFE">
            <w:pPr>
              <w:jc w:val="right"/>
            </w:pPr>
            <w:r>
              <w:t>1,428.1</w:t>
            </w:r>
          </w:p>
        </w:tc>
      </w:tr>
    </w:tbl>
    <w:p w:rsidR="009A3AFE" w:rsidRDefault="009A3AFE" w:rsidP="009A3AFE">
      <w:pPr>
        <w:ind w:left="720"/>
      </w:pPr>
    </w:p>
    <w:p w:rsidR="009A3AFE" w:rsidRDefault="009A3AFE" w:rsidP="009A3AFE">
      <w:pPr>
        <w:ind w:left="720"/>
      </w:pPr>
      <w:r>
        <w:t xml:space="preserve"> </w:t>
      </w:r>
    </w:p>
    <w:p w:rsidR="009A3AFE" w:rsidRDefault="009A3AFE" w:rsidP="00C2774F">
      <w:pPr>
        <w:pStyle w:val="ListParagraph"/>
        <w:numPr>
          <w:ilvl w:val="0"/>
          <w:numId w:val="26"/>
        </w:numPr>
      </w:pPr>
      <w:r>
        <w:t xml:space="preserve">Credit risk </w:t>
      </w:r>
    </w:p>
    <w:p w:rsidR="009A3AFE" w:rsidRDefault="009A3AFE" w:rsidP="009A3AFE">
      <w:pPr>
        <w:tabs>
          <w:tab w:val="left" w:pos="709"/>
        </w:tabs>
        <w:ind w:left="567" w:hanging="567"/>
      </w:pPr>
      <w:r>
        <w:t xml:space="preserve">    </w:t>
      </w:r>
    </w:p>
    <w:p w:rsidR="009A3AFE" w:rsidRDefault="009A3AFE" w:rsidP="009A3AFE">
      <w:pPr>
        <w:ind w:left="709"/>
      </w:pPr>
      <w:r>
        <w:t xml:space="preserve">Credit risk represents the risk that the counterparty to a transaction or a financial instrument will fail to discharge an obligation and cause the Fund to incur financial loss.  The market values of investments generally reflect an assessment of credit in their pricing and consequently the risk of loss is implicitly provided for in the carrying value of the Fund's financial asset and liabilities.   </w:t>
      </w:r>
    </w:p>
    <w:p w:rsidR="009A3AFE" w:rsidRDefault="009A3AFE" w:rsidP="009A3AFE">
      <w:pPr>
        <w:ind w:left="709"/>
      </w:pPr>
    </w:p>
    <w:p w:rsidR="009A3AFE" w:rsidRDefault="009A3AFE" w:rsidP="009A3AFE">
      <w:pPr>
        <w:ind w:left="709"/>
      </w:pPr>
      <w:r>
        <w:t xml:space="preserve">In essence the Fund's entire investment portfolio is exposed to some form of credit risk, with the exception of the derivatives positions, where the risk equates to the net market value of a positive derivative position.  However the selection of high quality </w:t>
      </w:r>
      <w:r>
        <w:lastRenderedPageBreak/>
        <w:t xml:space="preserve">counterparties, brokers and financial institutions minimise the credit risk that may occur through the failure to settle a transaction in a timely manner. </w:t>
      </w:r>
    </w:p>
    <w:p w:rsidR="009A3AFE" w:rsidRDefault="009A3AFE" w:rsidP="009A3AFE">
      <w:pPr>
        <w:ind w:left="709"/>
      </w:pPr>
    </w:p>
    <w:p w:rsidR="009A3AFE" w:rsidRDefault="009A3AFE" w:rsidP="009A3AFE">
      <w:pPr>
        <w:ind w:left="709"/>
      </w:pPr>
      <w:r>
        <w:t xml:space="preserve">Contractual credit risk is represented by the net payment or receipt that remains outstanding, and the cost of replacing the derivatives position in the event of a counterparty default.  The residual risk is minimal due to the various insurance policies held by the exchanges to cover defaulting counterparties. </w:t>
      </w:r>
    </w:p>
    <w:p w:rsidR="009A3AFE" w:rsidRDefault="009A3AFE" w:rsidP="009A3AFE">
      <w:pPr>
        <w:ind w:left="709"/>
      </w:pPr>
    </w:p>
    <w:p w:rsidR="009A3AFE" w:rsidRDefault="009A3AFE" w:rsidP="009A3AFE">
      <w:pPr>
        <w:ind w:left="709"/>
      </w:pPr>
      <w:r>
        <w:t xml:space="preserve">Credit risk on over-the-counter derivatives contracts is minimised as counterparties are recognised financial intermediaries with acceptable credit ratings determined by a recognised rating agency. </w:t>
      </w:r>
    </w:p>
    <w:p w:rsidR="009A3AFE" w:rsidRDefault="009A3AFE" w:rsidP="009A3AFE">
      <w:pPr>
        <w:ind w:left="709"/>
      </w:pPr>
    </w:p>
    <w:p w:rsidR="009A3AFE" w:rsidRDefault="009A3AFE" w:rsidP="009A3AFE">
      <w:pPr>
        <w:ind w:left="709"/>
      </w:pPr>
      <w:r>
        <w:t xml:space="preserve">Deposits are not made with banks and financial instructions unless they are rated independent and meet the Fund's credit criteria.  The Fund has also set limits as to the maximum percentage of the deposits placed with any class of financial institution.  </w:t>
      </w:r>
    </w:p>
    <w:p w:rsidR="009A3AFE" w:rsidRDefault="009A3AFE" w:rsidP="009A3AFE">
      <w:pPr>
        <w:ind w:left="709"/>
      </w:pPr>
    </w:p>
    <w:p w:rsidR="009A3AFE" w:rsidRDefault="009A3AFE" w:rsidP="009A3AFE">
      <w:pPr>
        <w:ind w:left="709"/>
      </w:pPr>
      <w:r>
        <w:t>The Fund's cash holding under its treasury management arrangements at 31</w:t>
      </w:r>
      <w:r w:rsidRPr="004F28AC">
        <w:rPr>
          <w:vertAlign w:val="superscript"/>
        </w:rPr>
        <w:t>st</w:t>
      </w:r>
      <w:r>
        <w:t xml:space="preserve"> March 2012 was £126.9 million (31 March 2011: £36.</w:t>
      </w:r>
      <w:r w:rsidR="0056152E">
        <w:t>6</w:t>
      </w:r>
      <w:r>
        <w:t xml:space="preserve"> million.  This was held with the following institutions:     </w:t>
      </w:r>
    </w:p>
    <w:p w:rsidR="009A3AFE" w:rsidRDefault="009A3AFE" w:rsidP="009A3AFE">
      <w:pPr>
        <w:ind w:left="709"/>
      </w:pPr>
    </w:p>
    <w:tbl>
      <w:tblPr>
        <w:tblStyle w:val="TableGrid"/>
        <w:tblW w:w="0" w:type="auto"/>
        <w:tblInd w:w="709" w:type="dxa"/>
        <w:tblLook w:val="04A0"/>
      </w:tblPr>
      <w:tblGrid>
        <w:gridCol w:w="4106"/>
        <w:gridCol w:w="1204"/>
        <w:gridCol w:w="1831"/>
        <w:gridCol w:w="2054"/>
      </w:tblGrid>
      <w:tr w:rsidR="009A3AFE" w:rsidTr="009A3AFE">
        <w:tc>
          <w:tcPr>
            <w:tcW w:w="4786" w:type="dxa"/>
          </w:tcPr>
          <w:p w:rsidR="009A3AFE" w:rsidRDefault="009A3AFE" w:rsidP="009A3AFE">
            <w:r>
              <w:t xml:space="preserve">Summary </w:t>
            </w:r>
          </w:p>
        </w:tc>
        <w:tc>
          <w:tcPr>
            <w:tcW w:w="1276" w:type="dxa"/>
          </w:tcPr>
          <w:p w:rsidR="009A3AFE" w:rsidRDefault="009A3AFE" w:rsidP="009A3AFE">
            <w:r>
              <w:t xml:space="preserve">Rating </w:t>
            </w:r>
          </w:p>
        </w:tc>
        <w:tc>
          <w:tcPr>
            <w:tcW w:w="1984" w:type="dxa"/>
          </w:tcPr>
          <w:p w:rsidR="009A3AFE" w:rsidRDefault="009A3AFE" w:rsidP="009A3AFE">
            <w:r>
              <w:t xml:space="preserve">Balances as at </w:t>
            </w:r>
          </w:p>
          <w:p w:rsidR="009A3AFE" w:rsidRDefault="009A3AFE" w:rsidP="009A3AFE">
            <w:r>
              <w:t xml:space="preserve">31 March 2012 </w:t>
            </w:r>
          </w:p>
        </w:tc>
        <w:tc>
          <w:tcPr>
            <w:tcW w:w="2261" w:type="dxa"/>
          </w:tcPr>
          <w:p w:rsidR="009A3AFE" w:rsidRDefault="009A3AFE" w:rsidP="009A3AFE">
            <w:r>
              <w:t xml:space="preserve">Balances as at </w:t>
            </w:r>
          </w:p>
          <w:p w:rsidR="009A3AFE" w:rsidRDefault="009A3AFE" w:rsidP="009A3AFE">
            <w:r>
              <w:t>31 March 2011</w:t>
            </w:r>
          </w:p>
        </w:tc>
      </w:tr>
      <w:tr w:rsidR="009A3AFE" w:rsidTr="009A3AFE">
        <w:tc>
          <w:tcPr>
            <w:tcW w:w="4786" w:type="dxa"/>
          </w:tcPr>
          <w:p w:rsidR="009A3AFE" w:rsidRDefault="009A3AFE" w:rsidP="009A3AFE"/>
        </w:tc>
        <w:tc>
          <w:tcPr>
            <w:tcW w:w="1276" w:type="dxa"/>
          </w:tcPr>
          <w:p w:rsidR="009A3AFE" w:rsidRDefault="009A3AFE" w:rsidP="009A3AFE"/>
        </w:tc>
        <w:tc>
          <w:tcPr>
            <w:tcW w:w="1984" w:type="dxa"/>
          </w:tcPr>
          <w:p w:rsidR="009A3AFE" w:rsidRDefault="009A3AFE" w:rsidP="009A3AFE">
            <w:pPr>
              <w:jc w:val="right"/>
            </w:pPr>
            <w:r>
              <w:t>£m</w:t>
            </w:r>
          </w:p>
        </w:tc>
        <w:tc>
          <w:tcPr>
            <w:tcW w:w="2261" w:type="dxa"/>
          </w:tcPr>
          <w:p w:rsidR="009A3AFE" w:rsidRDefault="009A3AFE" w:rsidP="009A3AFE">
            <w:pPr>
              <w:jc w:val="right"/>
            </w:pPr>
            <w:r>
              <w:t>£m</w:t>
            </w:r>
          </w:p>
        </w:tc>
      </w:tr>
      <w:tr w:rsidR="009A3AFE" w:rsidTr="009A3AFE">
        <w:tc>
          <w:tcPr>
            <w:tcW w:w="4786" w:type="dxa"/>
          </w:tcPr>
          <w:p w:rsidR="009A3AFE" w:rsidRPr="0031114B" w:rsidRDefault="009A3AFE" w:rsidP="009A3AFE">
            <w:pPr>
              <w:rPr>
                <w:b/>
              </w:rPr>
            </w:pPr>
            <w:r>
              <w:rPr>
                <w:b/>
              </w:rPr>
              <w:t xml:space="preserve">Money market funds </w:t>
            </w:r>
          </w:p>
        </w:tc>
        <w:tc>
          <w:tcPr>
            <w:tcW w:w="1276" w:type="dxa"/>
          </w:tcPr>
          <w:p w:rsidR="009A3AFE" w:rsidRDefault="009A3AFE" w:rsidP="009A3AFE"/>
        </w:tc>
        <w:tc>
          <w:tcPr>
            <w:tcW w:w="1984" w:type="dxa"/>
          </w:tcPr>
          <w:p w:rsidR="009A3AFE" w:rsidRDefault="009A3AFE" w:rsidP="009A3AFE"/>
        </w:tc>
        <w:tc>
          <w:tcPr>
            <w:tcW w:w="2261" w:type="dxa"/>
          </w:tcPr>
          <w:p w:rsidR="009A3AFE" w:rsidRDefault="009A3AFE" w:rsidP="009A3AFE"/>
        </w:tc>
      </w:tr>
      <w:tr w:rsidR="009A3AFE" w:rsidTr="009A3AFE">
        <w:tc>
          <w:tcPr>
            <w:tcW w:w="4786" w:type="dxa"/>
          </w:tcPr>
          <w:p w:rsidR="009A3AFE" w:rsidRDefault="009A3AFE" w:rsidP="009A3AFE">
            <w:r>
              <w:t>Bank of New York Mellon</w:t>
            </w:r>
          </w:p>
        </w:tc>
        <w:tc>
          <w:tcPr>
            <w:tcW w:w="1276" w:type="dxa"/>
          </w:tcPr>
          <w:p w:rsidR="009A3AFE" w:rsidRDefault="009A3AFE" w:rsidP="009A3AFE">
            <w:r>
              <w:t>Aa3</w:t>
            </w:r>
          </w:p>
        </w:tc>
        <w:tc>
          <w:tcPr>
            <w:tcW w:w="1984" w:type="dxa"/>
          </w:tcPr>
          <w:p w:rsidR="009A3AFE" w:rsidRDefault="009A3AFE" w:rsidP="009A3AFE">
            <w:pPr>
              <w:jc w:val="right"/>
            </w:pPr>
            <w:r>
              <w:t>-</w:t>
            </w:r>
          </w:p>
        </w:tc>
        <w:tc>
          <w:tcPr>
            <w:tcW w:w="2261" w:type="dxa"/>
          </w:tcPr>
          <w:p w:rsidR="009A3AFE" w:rsidRDefault="009A3AFE" w:rsidP="009A3AFE">
            <w:pPr>
              <w:jc w:val="right"/>
            </w:pPr>
            <w:r>
              <w:t>24.2</w:t>
            </w:r>
          </w:p>
        </w:tc>
      </w:tr>
      <w:tr w:rsidR="009A3AFE" w:rsidTr="009A3AFE">
        <w:tc>
          <w:tcPr>
            <w:tcW w:w="4786" w:type="dxa"/>
          </w:tcPr>
          <w:p w:rsidR="009A3AFE" w:rsidRDefault="009A3AFE" w:rsidP="009A3AFE"/>
        </w:tc>
        <w:tc>
          <w:tcPr>
            <w:tcW w:w="1276" w:type="dxa"/>
          </w:tcPr>
          <w:p w:rsidR="009A3AFE" w:rsidRDefault="009A3AFE" w:rsidP="009A3AFE"/>
        </w:tc>
        <w:tc>
          <w:tcPr>
            <w:tcW w:w="1984" w:type="dxa"/>
          </w:tcPr>
          <w:p w:rsidR="009A3AFE" w:rsidRDefault="009A3AFE" w:rsidP="009A3AFE"/>
        </w:tc>
        <w:tc>
          <w:tcPr>
            <w:tcW w:w="2261" w:type="dxa"/>
          </w:tcPr>
          <w:p w:rsidR="009A3AFE" w:rsidRDefault="009A3AFE" w:rsidP="009A3AFE"/>
        </w:tc>
      </w:tr>
      <w:tr w:rsidR="009A3AFE" w:rsidTr="009A3AFE">
        <w:tc>
          <w:tcPr>
            <w:tcW w:w="4786" w:type="dxa"/>
          </w:tcPr>
          <w:p w:rsidR="009A3AFE" w:rsidRDefault="009A3AFE" w:rsidP="009A3AFE"/>
        </w:tc>
        <w:tc>
          <w:tcPr>
            <w:tcW w:w="1276" w:type="dxa"/>
          </w:tcPr>
          <w:p w:rsidR="009A3AFE" w:rsidRDefault="009A3AFE" w:rsidP="009A3AFE"/>
        </w:tc>
        <w:tc>
          <w:tcPr>
            <w:tcW w:w="1984" w:type="dxa"/>
          </w:tcPr>
          <w:p w:rsidR="009A3AFE" w:rsidRDefault="009A3AFE" w:rsidP="009A3AFE"/>
        </w:tc>
        <w:tc>
          <w:tcPr>
            <w:tcW w:w="2261" w:type="dxa"/>
          </w:tcPr>
          <w:p w:rsidR="009A3AFE" w:rsidRDefault="009A3AFE" w:rsidP="009A3AFE"/>
        </w:tc>
      </w:tr>
      <w:tr w:rsidR="009A3AFE" w:rsidTr="009A3AFE">
        <w:tc>
          <w:tcPr>
            <w:tcW w:w="4786" w:type="dxa"/>
          </w:tcPr>
          <w:p w:rsidR="009A3AFE" w:rsidRPr="0031114B" w:rsidRDefault="009A3AFE" w:rsidP="009A3AFE">
            <w:pPr>
              <w:rPr>
                <w:b/>
              </w:rPr>
            </w:pPr>
            <w:r>
              <w:rPr>
                <w:b/>
              </w:rPr>
              <w:t xml:space="preserve">Bank deposit accounts </w:t>
            </w:r>
          </w:p>
        </w:tc>
        <w:tc>
          <w:tcPr>
            <w:tcW w:w="1276" w:type="dxa"/>
          </w:tcPr>
          <w:p w:rsidR="009A3AFE" w:rsidRDefault="009A3AFE" w:rsidP="009A3AFE"/>
        </w:tc>
        <w:tc>
          <w:tcPr>
            <w:tcW w:w="1984" w:type="dxa"/>
          </w:tcPr>
          <w:p w:rsidR="009A3AFE" w:rsidRDefault="009A3AFE" w:rsidP="009A3AFE"/>
        </w:tc>
        <w:tc>
          <w:tcPr>
            <w:tcW w:w="2261" w:type="dxa"/>
          </w:tcPr>
          <w:p w:rsidR="009A3AFE" w:rsidRDefault="009A3AFE" w:rsidP="009A3AFE"/>
        </w:tc>
      </w:tr>
      <w:tr w:rsidR="009A3AFE" w:rsidTr="009A3AFE">
        <w:tc>
          <w:tcPr>
            <w:tcW w:w="4786" w:type="dxa"/>
          </w:tcPr>
          <w:p w:rsidR="009A3AFE" w:rsidRDefault="009A3AFE" w:rsidP="009A3AFE">
            <w:r>
              <w:t xml:space="preserve">Ulster Bank </w:t>
            </w:r>
          </w:p>
        </w:tc>
        <w:tc>
          <w:tcPr>
            <w:tcW w:w="1276" w:type="dxa"/>
          </w:tcPr>
          <w:p w:rsidR="009A3AFE" w:rsidRDefault="009A3AFE" w:rsidP="009A3AFE">
            <w:pPr>
              <w:jc w:val="center"/>
            </w:pPr>
            <w:r>
              <w:t>Baa2</w:t>
            </w:r>
          </w:p>
        </w:tc>
        <w:tc>
          <w:tcPr>
            <w:tcW w:w="1984" w:type="dxa"/>
          </w:tcPr>
          <w:p w:rsidR="009A3AFE" w:rsidRDefault="009A3AFE" w:rsidP="009A3AFE">
            <w:pPr>
              <w:jc w:val="right"/>
            </w:pPr>
            <w:r>
              <w:t>5.0</w:t>
            </w:r>
          </w:p>
        </w:tc>
        <w:tc>
          <w:tcPr>
            <w:tcW w:w="2261" w:type="dxa"/>
          </w:tcPr>
          <w:p w:rsidR="009A3AFE" w:rsidRDefault="009A3AFE" w:rsidP="009A3AFE">
            <w:pPr>
              <w:jc w:val="right"/>
            </w:pPr>
            <w:r>
              <w:t>5.0</w:t>
            </w:r>
          </w:p>
        </w:tc>
      </w:tr>
      <w:tr w:rsidR="009A3AFE" w:rsidTr="009A3AFE">
        <w:tc>
          <w:tcPr>
            <w:tcW w:w="4786" w:type="dxa"/>
          </w:tcPr>
          <w:p w:rsidR="009A3AFE" w:rsidRDefault="009A3AFE" w:rsidP="009A3AFE">
            <w:r>
              <w:t>Northern Trust</w:t>
            </w:r>
          </w:p>
        </w:tc>
        <w:tc>
          <w:tcPr>
            <w:tcW w:w="1276" w:type="dxa"/>
          </w:tcPr>
          <w:p w:rsidR="009A3AFE" w:rsidRDefault="009A3AFE" w:rsidP="009A3AFE">
            <w:pPr>
              <w:jc w:val="center"/>
            </w:pPr>
            <w:r>
              <w:t>A1</w:t>
            </w:r>
          </w:p>
        </w:tc>
        <w:tc>
          <w:tcPr>
            <w:tcW w:w="1984" w:type="dxa"/>
          </w:tcPr>
          <w:p w:rsidR="009A3AFE" w:rsidRDefault="009A3AFE" w:rsidP="009A3AFE">
            <w:pPr>
              <w:jc w:val="right"/>
            </w:pPr>
            <w:r>
              <w:t>51.7</w:t>
            </w:r>
          </w:p>
        </w:tc>
        <w:tc>
          <w:tcPr>
            <w:tcW w:w="2261" w:type="dxa"/>
          </w:tcPr>
          <w:p w:rsidR="009A3AFE" w:rsidRDefault="009A3AFE" w:rsidP="009A3AFE"/>
        </w:tc>
      </w:tr>
      <w:tr w:rsidR="009A3AFE" w:rsidTr="009A3AFE">
        <w:tc>
          <w:tcPr>
            <w:tcW w:w="4786" w:type="dxa"/>
          </w:tcPr>
          <w:p w:rsidR="009A3AFE" w:rsidRDefault="009A3AFE" w:rsidP="009A3AFE">
            <w:r>
              <w:t>Bank of New York Mellon</w:t>
            </w:r>
          </w:p>
        </w:tc>
        <w:tc>
          <w:tcPr>
            <w:tcW w:w="1276" w:type="dxa"/>
          </w:tcPr>
          <w:p w:rsidR="009A3AFE" w:rsidRDefault="009A3AFE" w:rsidP="009A3AFE">
            <w:pPr>
              <w:jc w:val="center"/>
            </w:pPr>
            <w:r>
              <w:t>Aa3</w:t>
            </w:r>
          </w:p>
        </w:tc>
        <w:tc>
          <w:tcPr>
            <w:tcW w:w="1984" w:type="dxa"/>
          </w:tcPr>
          <w:p w:rsidR="009A3AFE" w:rsidRDefault="009A3AFE" w:rsidP="009A3AFE">
            <w:pPr>
              <w:jc w:val="right"/>
            </w:pPr>
            <w:r>
              <w:t>0</w:t>
            </w:r>
          </w:p>
        </w:tc>
        <w:tc>
          <w:tcPr>
            <w:tcW w:w="2261" w:type="dxa"/>
          </w:tcPr>
          <w:p w:rsidR="009A3AFE" w:rsidRDefault="009A3AFE" w:rsidP="0056152E">
            <w:pPr>
              <w:jc w:val="right"/>
            </w:pPr>
            <w:r>
              <w:t>5.</w:t>
            </w:r>
            <w:r w:rsidR="0056152E">
              <w:t>2</w:t>
            </w:r>
          </w:p>
        </w:tc>
      </w:tr>
      <w:tr w:rsidR="009A3AFE" w:rsidTr="009A3AFE">
        <w:tc>
          <w:tcPr>
            <w:tcW w:w="4786" w:type="dxa"/>
          </w:tcPr>
          <w:p w:rsidR="009A3AFE" w:rsidRPr="0031114B" w:rsidRDefault="009A3AFE" w:rsidP="009A3AFE">
            <w:pPr>
              <w:rPr>
                <w:b/>
              </w:rPr>
            </w:pPr>
            <w:r w:rsidRPr="0031114B">
              <w:rPr>
                <w:b/>
              </w:rPr>
              <w:t xml:space="preserve">Bank Current Accounts </w:t>
            </w:r>
          </w:p>
        </w:tc>
        <w:tc>
          <w:tcPr>
            <w:tcW w:w="1276" w:type="dxa"/>
          </w:tcPr>
          <w:p w:rsidR="009A3AFE" w:rsidRDefault="009A3AFE" w:rsidP="009A3AFE">
            <w:pPr>
              <w:jc w:val="center"/>
            </w:pPr>
          </w:p>
        </w:tc>
        <w:tc>
          <w:tcPr>
            <w:tcW w:w="1984" w:type="dxa"/>
          </w:tcPr>
          <w:p w:rsidR="009A3AFE" w:rsidRDefault="009A3AFE" w:rsidP="009A3AFE">
            <w:pPr>
              <w:jc w:val="right"/>
            </w:pPr>
          </w:p>
        </w:tc>
        <w:tc>
          <w:tcPr>
            <w:tcW w:w="2261" w:type="dxa"/>
          </w:tcPr>
          <w:p w:rsidR="009A3AFE" w:rsidRDefault="009A3AFE" w:rsidP="009A3AFE"/>
        </w:tc>
      </w:tr>
      <w:tr w:rsidR="009A3AFE" w:rsidTr="009A3AFE">
        <w:tc>
          <w:tcPr>
            <w:tcW w:w="4786" w:type="dxa"/>
          </w:tcPr>
          <w:p w:rsidR="009A3AFE" w:rsidRDefault="009A3AFE" w:rsidP="009A3AFE">
            <w:r>
              <w:t>Natwest Account</w:t>
            </w:r>
          </w:p>
        </w:tc>
        <w:tc>
          <w:tcPr>
            <w:tcW w:w="1276" w:type="dxa"/>
          </w:tcPr>
          <w:p w:rsidR="009A3AFE" w:rsidRDefault="009A3AFE" w:rsidP="009A3AFE">
            <w:pPr>
              <w:jc w:val="center"/>
            </w:pPr>
            <w:r>
              <w:t>A3</w:t>
            </w:r>
          </w:p>
        </w:tc>
        <w:tc>
          <w:tcPr>
            <w:tcW w:w="1984" w:type="dxa"/>
          </w:tcPr>
          <w:p w:rsidR="009A3AFE" w:rsidRDefault="009A3AFE" w:rsidP="009A3AFE">
            <w:pPr>
              <w:jc w:val="right"/>
            </w:pPr>
            <w:r>
              <w:t>70.2</w:t>
            </w:r>
          </w:p>
        </w:tc>
        <w:tc>
          <w:tcPr>
            <w:tcW w:w="2261" w:type="dxa"/>
          </w:tcPr>
          <w:p w:rsidR="009A3AFE" w:rsidRDefault="009A3AFE" w:rsidP="0056152E">
            <w:pPr>
              <w:jc w:val="right"/>
            </w:pPr>
            <w:r>
              <w:t>2.</w:t>
            </w:r>
            <w:r w:rsidR="0056152E">
              <w:t>2</w:t>
            </w:r>
          </w:p>
        </w:tc>
      </w:tr>
      <w:tr w:rsidR="009A3AFE" w:rsidTr="009A3AFE">
        <w:tc>
          <w:tcPr>
            <w:tcW w:w="4786" w:type="dxa"/>
          </w:tcPr>
          <w:p w:rsidR="009A3AFE" w:rsidRPr="0031114B" w:rsidRDefault="009A3AFE" w:rsidP="009A3AFE">
            <w:pPr>
              <w:rPr>
                <w:b/>
              </w:rPr>
            </w:pPr>
            <w:r w:rsidRPr="0031114B">
              <w:rPr>
                <w:b/>
              </w:rPr>
              <w:t xml:space="preserve">Total </w:t>
            </w:r>
          </w:p>
        </w:tc>
        <w:tc>
          <w:tcPr>
            <w:tcW w:w="1276" w:type="dxa"/>
          </w:tcPr>
          <w:p w:rsidR="009A3AFE" w:rsidRDefault="009A3AFE" w:rsidP="009A3AFE"/>
        </w:tc>
        <w:tc>
          <w:tcPr>
            <w:tcW w:w="1984" w:type="dxa"/>
          </w:tcPr>
          <w:p w:rsidR="009A3AFE" w:rsidRPr="00234983" w:rsidRDefault="009A3AFE" w:rsidP="009A3AFE">
            <w:pPr>
              <w:jc w:val="right"/>
              <w:rPr>
                <w:b/>
              </w:rPr>
            </w:pPr>
            <w:r w:rsidRPr="00234983">
              <w:rPr>
                <w:b/>
              </w:rPr>
              <w:t>126.9</w:t>
            </w:r>
          </w:p>
        </w:tc>
        <w:tc>
          <w:tcPr>
            <w:tcW w:w="2261" w:type="dxa"/>
          </w:tcPr>
          <w:p w:rsidR="009A3AFE" w:rsidRPr="00FD72A9" w:rsidRDefault="009A3AFE" w:rsidP="0056152E">
            <w:pPr>
              <w:jc w:val="right"/>
              <w:rPr>
                <w:b/>
              </w:rPr>
            </w:pPr>
            <w:r w:rsidRPr="00FD72A9">
              <w:rPr>
                <w:b/>
              </w:rPr>
              <w:t>36.</w:t>
            </w:r>
            <w:r w:rsidR="0056152E">
              <w:rPr>
                <w:b/>
              </w:rPr>
              <w:t>6</w:t>
            </w:r>
          </w:p>
        </w:tc>
      </w:tr>
    </w:tbl>
    <w:p w:rsidR="009A3AFE" w:rsidRDefault="009A3AFE" w:rsidP="009A3AFE">
      <w:pPr>
        <w:ind w:left="709"/>
      </w:pPr>
    </w:p>
    <w:p w:rsidR="009A3AFE" w:rsidRPr="0054203A" w:rsidRDefault="009A3AFE" w:rsidP="00C2774F">
      <w:pPr>
        <w:pStyle w:val="ListParagraph"/>
        <w:numPr>
          <w:ilvl w:val="0"/>
          <w:numId w:val="26"/>
        </w:numPr>
      </w:pPr>
      <w:r w:rsidRPr="0054203A">
        <w:t>Liquidity risks</w:t>
      </w:r>
    </w:p>
    <w:p w:rsidR="009A3AFE" w:rsidRDefault="009A3AFE" w:rsidP="009A3AFE">
      <w:pPr>
        <w:ind w:left="709"/>
      </w:pPr>
    </w:p>
    <w:p w:rsidR="009A3AFE" w:rsidRDefault="009A3AFE" w:rsidP="009A3AFE">
      <w:pPr>
        <w:ind w:left="709"/>
      </w:pPr>
      <w:r>
        <w:t xml:space="preserve">Liquidity risk represents the risk that the Fund will not be able to meet its financial obligations as they fall due.  The Fund therefore takes steps to ensure that the Fund has adequate cash resources to meet its commitments. </w:t>
      </w:r>
    </w:p>
    <w:p w:rsidR="009A3AFE" w:rsidRDefault="009A3AFE" w:rsidP="009A3AFE">
      <w:pPr>
        <w:ind w:left="709"/>
      </w:pPr>
    </w:p>
    <w:p w:rsidR="009A3AFE" w:rsidRDefault="009A3AFE" w:rsidP="009A3AFE">
      <w:pPr>
        <w:ind w:left="709"/>
      </w:pPr>
      <w:r>
        <w:t xml:space="preserve">The Fund has immediate access to its cash holdings. </w:t>
      </w:r>
    </w:p>
    <w:p w:rsidR="009A3AFE" w:rsidRDefault="009A3AFE" w:rsidP="009A3AFE">
      <w:pPr>
        <w:ind w:left="709"/>
      </w:pPr>
    </w:p>
    <w:p w:rsidR="009A3AFE" w:rsidRDefault="009A3AFE" w:rsidP="009A3AFE">
      <w:pPr>
        <w:ind w:left="709"/>
      </w:pPr>
      <w:r>
        <w:t xml:space="preserve">Management prepares periodic cash flow forecasts to understand and manage the timing of the Fund's cash flow.  The appropriate strategic level of cash balances to be held forms part of the Funds investment strategy. </w:t>
      </w:r>
    </w:p>
    <w:p w:rsidR="009A3AFE" w:rsidRDefault="009A3AFE" w:rsidP="009A3AFE">
      <w:pPr>
        <w:ind w:left="709"/>
      </w:pPr>
    </w:p>
    <w:p w:rsidR="009A3AFE" w:rsidRDefault="009A3AFE" w:rsidP="009A3AFE">
      <w:pPr>
        <w:ind w:left="709"/>
      </w:pPr>
      <w:r>
        <w:t xml:space="preserve">All financial liabilities at 31 March 2012 are due within the one year. </w:t>
      </w:r>
    </w:p>
    <w:p w:rsidR="009A3AFE" w:rsidRDefault="009A3AFE" w:rsidP="009A3AFE">
      <w:pPr>
        <w:ind w:left="709"/>
      </w:pPr>
    </w:p>
    <w:p w:rsidR="009A3AFE" w:rsidRPr="005F2D0A" w:rsidRDefault="009A3AFE" w:rsidP="00C2774F">
      <w:pPr>
        <w:pStyle w:val="ListParagraph"/>
        <w:numPr>
          <w:ilvl w:val="0"/>
          <w:numId w:val="26"/>
        </w:numPr>
        <w:rPr>
          <w:b/>
        </w:rPr>
      </w:pPr>
      <w:r>
        <w:rPr>
          <w:b/>
        </w:rPr>
        <w:lastRenderedPageBreak/>
        <w:t xml:space="preserve"> </w:t>
      </w:r>
      <w:r w:rsidRPr="005F2D0A">
        <w:rPr>
          <w:b/>
        </w:rPr>
        <w:t xml:space="preserve">Refinancing risk </w:t>
      </w:r>
    </w:p>
    <w:p w:rsidR="009A3AFE" w:rsidRDefault="009A3AFE" w:rsidP="009A3AFE">
      <w:pPr>
        <w:ind w:left="709"/>
        <w:rPr>
          <w:b/>
        </w:rPr>
      </w:pPr>
    </w:p>
    <w:p w:rsidR="009A3AFE" w:rsidRDefault="009A3AFE" w:rsidP="009A3AFE">
      <w:pPr>
        <w:ind w:left="709"/>
      </w:pPr>
      <w:r>
        <w:t xml:space="preserve">The Fund does not have any financial instruments that have a refinancing risk as part of its treasury management and investment strategies. </w:t>
      </w:r>
    </w:p>
    <w:p w:rsidR="009A3AFE" w:rsidRDefault="009A3AFE" w:rsidP="009A3AFE">
      <w:pPr>
        <w:rPr>
          <w:szCs w:val="24"/>
        </w:rPr>
      </w:pPr>
    </w:p>
    <w:p w:rsidR="009A3AFE" w:rsidRDefault="009A3AFE" w:rsidP="009A3AFE">
      <w:pPr>
        <w:rPr>
          <w:szCs w:val="24"/>
        </w:rPr>
      </w:pPr>
    </w:p>
    <w:p w:rsidR="009A3AFE" w:rsidRDefault="009A3AFE" w:rsidP="009A3AFE">
      <w:pPr>
        <w:rPr>
          <w:szCs w:val="24"/>
        </w:rPr>
      </w:pPr>
    </w:p>
    <w:p w:rsidR="009A3AFE" w:rsidRPr="0023630F" w:rsidRDefault="009A3AFE" w:rsidP="009A3AFE">
      <w:pPr>
        <w:numPr>
          <w:ilvl w:val="0"/>
          <w:numId w:val="2"/>
        </w:numPr>
        <w:spacing w:after="120"/>
        <w:rPr>
          <w:szCs w:val="24"/>
        </w:rPr>
      </w:pPr>
      <w:r>
        <w:rPr>
          <w:b/>
          <w:szCs w:val="24"/>
        </w:rPr>
        <w:t>A</w:t>
      </w:r>
      <w:r w:rsidRPr="00DB3FF9">
        <w:rPr>
          <w:b/>
          <w:szCs w:val="24"/>
        </w:rPr>
        <w:t>dditional Voluntary Contributions (AVC’s)</w:t>
      </w:r>
    </w:p>
    <w:p w:rsidR="009A3AFE" w:rsidRDefault="009A3AFE" w:rsidP="009A3AFE">
      <w:pPr>
        <w:pStyle w:val="BodyTextIndent"/>
        <w:tabs>
          <w:tab w:val="clear" w:pos="1080"/>
          <w:tab w:val="left" w:pos="709"/>
        </w:tabs>
        <w:spacing w:after="0"/>
        <w:ind w:left="709"/>
        <w:rPr>
          <w:szCs w:val="24"/>
        </w:rPr>
      </w:pPr>
      <w:r w:rsidRPr="00166665">
        <w:rPr>
          <w:szCs w:val="24"/>
        </w:rPr>
        <w:t xml:space="preserve">The </w:t>
      </w:r>
      <w:smartTag w:uri="urn:schemas-microsoft-com:office:smarttags" w:element="stockticker">
        <w:r w:rsidRPr="00166665">
          <w:rPr>
            <w:szCs w:val="24"/>
          </w:rPr>
          <w:t>AVC</w:t>
        </w:r>
      </w:smartTag>
      <w:r w:rsidRPr="00166665">
        <w:rPr>
          <w:szCs w:val="24"/>
        </w:rPr>
        <w:t xml:space="preserve"> providers to the Pension Fund are Equitable Life and Prudential.  The </w:t>
      </w:r>
      <w:smartTag w:uri="urn:schemas-microsoft-com:office:smarttags" w:element="stockticker">
        <w:r w:rsidRPr="00166665">
          <w:rPr>
            <w:szCs w:val="24"/>
          </w:rPr>
          <w:t>AVC</w:t>
        </w:r>
      </w:smartTag>
      <w:r w:rsidRPr="00166665">
        <w:rPr>
          <w:szCs w:val="24"/>
        </w:rPr>
        <w:t xml:space="preserve">’s are invested separately from the Pension Fund’s main assets and used to acquire additional money purchase benefits.  These are not included in the Pension Fund accounts in accordance with regulation 5(2) (C) of the Local Government Pension Scheme (Management and Investment of Funds) Regulations 1998 (SI 1998 No 1831). Members participating in these </w:t>
      </w:r>
      <w:smartTag w:uri="urn:schemas-microsoft-com:office:smarttags" w:element="stockticker">
        <w:r w:rsidRPr="00166665">
          <w:rPr>
            <w:szCs w:val="24"/>
          </w:rPr>
          <w:t>AVC</w:t>
        </w:r>
      </w:smartTag>
      <w:r w:rsidRPr="00166665">
        <w:rPr>
          <w:szCs w:val="24"/>
        </w:rPr>
        <w:t xml:space="preserve"> arrangements each receive an annual statement confirming the amounts held in their account and the movements during the year.  A summary of the information provided by Equitable Life and Prudential is shown below.  (This summary has not been subject to Audit and the Pension Fund relies on the individual contributors to check deductions made on their behalf are accurately reflected in the statements provided by the </w:t>
      </w:r>
      <w:smartTag w:uri="urn:schemas-microsoft-com:office:smarttags" w:element="stockticker">
        <w:r w:rsidRPr="00166665">
          <w:rPr>
            <w:szCs w:val="24"/>
          </w:rPr>
          <w:t>AVC</w:t>
        </w:r>
      </w:smartTag>
      <w:r w:rsidRPr="00166665">
        <w:rPr>
          <w:szCs w:val="24"/>
        </w:rPr>
        <w:t xml:space="preserve"> providers).  The figures relate to the financial year 1 April 20</w:t>
      </w:r>
      <w:r>
        <w:rPr>
          <w:szCs w:val="24"/>
        </w:rPr>
        <w:t>11</w:t>
      </w:r>
      <w:r w:rsidRPr="00166665">
        <w:rPr>
          <w:szCs w:val="24"/>
        </w:rPr>
        <w:t xml:space="preserve"> to 31 March 201</w:t>
      </w:r>
      <w:r>
        <w:rPr>
          <w:szCs w:val="24"/>
        </w:rPr>
        <w:t>2</w:t>
      </w:r>
      <w:r w:rsidRPr="00166665">
        <w:rPr>
          <w:szCs w:val="24"/>
        </w:rPr>
        <w:t xml:space="preserve"> for Prudential and 1 September 20</w:t>
      </w:r>
      <w:r>
        <w:rPr>
          <w:szCs w:val="24"/>
        </w:rPr>
        <w:t xml:space="preserve">10 </w:t>
      </w:r>
      <w:r w:rsidRPr="00166665">
        <w:rPr>
          <w:szCs w:val="24"/>
        </w:rPr>
        <w:t>to 31 August 20</w:t>
      </w:r>
      <w:r>
        <w:rPr>
          <w:szCs w:val="24"/>
        </w:rPr>
        <w:t>11</w:t>
      </w:r>
      <w:r w:rsidRPr="00166665">
        <w:rPr>
          <w:szCs w:val="24"/>
        </w:rPr>
        <w:t xml:space="preserve"> for Equitable Life.</w:t>
      </w:r>
    </w:p>
    <w:p w:rsidR="009A3AFE" w:rsidRDefault="009A3AFE" w:rsidP="009A3AFE">
      <w:pPr>
        <w:pStyle w:val="BodyTextIndent"/>
        <w:tabs>
          <w:tab w:val="clear" w:pos="1080"/>
          <w:tab w:val="left" w:pos="709"/>
        </w:tabs>
        <w:spacing w:after="0"/>
        <w:ind w:left="709"/>
        <w:rPr>
          <w:szCs w:val="24"/>
        </w:rPr>
      </w:pPr>
    </w:p>
    <w:p w:rsidR="009A3AFE" w:rsidRPr="00CD28F8" w:rsidRDefault="009A3AFE" w:rsidP="009A3AFE">
      <w:pPr>
        <w:pStyle w:val="BodyTextIndent"/>
        <w:tabs>
          <w:tab w:val="clear" w:pos="1080"/>
          <w:tab w:val="left" w:pos="709"/>
        </w:tabs>
        <w:spacing w:after="0"/>
        <w:ind w:left="709"/>
        <w:rPr>
          <w:b/>
          <w:szCs w:val="24"/>
        </w:rPr>
      </w:pPr>
      <w:r w:rsidRPr="00CD28F8">
        <w:rPr>
          <w:b/>
          <w:szCs w:val="24"/>
        </w:rPr>
        <w:t>Additional Voluntary Contributions</w:t>
      </w:r>
    </w:p>
    <w:p w:rsidR="009A3AFE" w:rsidRDefault="009A3AFE" w:rsidP="009A3AFE">
      <w:pPr>
        <w:pStyle w:val="BodyTextIndent"/>
        <w:tabs>
          <w:tab w:val="clear" w:pos="1080"/>
          <w:tab w:val="left" w:pos="709"/>
        </w:tabs>
        <w:spacing w:after="0"/>
        <w:ind w:left="709"/>
        <w:rPr>
          <w:szCs w:val="24"/>
        </w:rPr>
      </w:pPr>
    </w:p>
    <w:tbl>
      <w:tblPr>
        <w:tblStyle w:val="TableGrid"/>
        <w:tblW w:w="1012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843"/>
        <w:gridCol w:w="236"/>
        <w:gridCol w:w="1465"/>
        <w:gridCol w:w="236"/>
        <w:gridCol w:w="1283"/>
      </w:tblGrid>
      <w:tr w:rsidR="009A3AFE" w:rsidTr="009A3AFE">
        <w:tc>
          <w:tcPr>
            <w:tcW w:w="5058" w:type="dxa"/>
          </w:tcPr>
          <w:p w:rsidR="009A3AFE" w:rsidRDefault="009A3AFE" w:rsidP="009A3AFE">
            <w:pPr>
              <w:rPr>
                <w:b/>
                <w:szCs w:val="24"/>
              </w:rPr>
            </w:pPr>
          </w:p>
        </w:tc>
        <w:tc>
          <w:tcPr>
            <w:tcW w:w="1843" w:type="dxa"/>
          </w:tcPr>
          <w:p w:rsidR="009A3AFE" w:rsidRDefault="009A3AFE" w:rsidP="009A3AFE">
            <w:pPr>
              <w:jc w:val="right"/>
              <w:rPr>
                <w:b/>
                <w:szCs w:val="24"/>
              </w:rPr>
            </w:pPr>
            <w:r>
              <w:rPr>
                <w:b/>
                <w:szCs w:val="24"/>
              </w:rPr>
              <w:t>Equitable life</w:t>
            </w:r>
          </w:p>
          <w:p w:rsidR="009A3AFE" w:rsidRDefault="009A3AFE" w:rsidP="009A3AFE">
            <w:pPr>
              <w:jc w:val="right"/>
              <w:rPr>
                <w:b/>
                <w:szCs w:val="24"/>
              </w:rPr>
            </w:pPr>
            <w:r>
              <w:rPr>
                <w:b/>
                <w:szCs w:val="24"/>
              </w:rPr>
              <w:t>£m</w:t>
            </w:r>
          </w:p>
        </w:tc>
        <w:tc>
          <w:tcPr>
            <w:tcW w:w="236" w:type="dxa"/>
            <w:tcBorders>
              <w:right w:val="single" w:sz="18" w:space="0" w:color="FFFFFF" w:themeColor="background1"/>
            </w:tcBorders>
          </w:tcPr>
          <w:p w:rsidR="009A3AFE" w:rsidRDefault="009A3AFE" w:rsidP="009A3AFE">
            <w:pPr>
              <w:jc w:val="right"/>
              <w:rPr>
                <w:b/>
                <w:szCs w:val="24"/>
              </w:rPr>
            </w:pPr>
          </w:p>
        </w:tc>
        <w:tc>
          <w:tcPr>
            <w:tcW w:w="1465" w:type="dxa"/>
            <w:tcBorders>
              <w:left w:val="single" w:sz="18" w:space="0" w:color="FFFFFF" w:themeColor="background1"/>
            </w:tcBorders>
          </w:tcPr>
          <w:p w:rsidR="009A3AFE" w:rsidRDefault="009A3AFE" w:rsidP="009A3AFE">
            <w:pPr>
              <w:jc w:val="right"/>
              <w:rPr>
                <w:b/>
                <w:szCs w:val="24"/>
              </w:rPr>
            </w:pPr>
            <w:r>
              <w:rPr>
                <w:b/>
                <w:szCs w:val="24"/>
              </w:rPr>
              <w:t>Prudential</w:t>
            </w:r>
          </w:p>
          <w:p w:rsidR="009A3AFE" w:rsidRDefault="009A3AFE" w:rsidP="009A3AFE">
            <w:pPr>
              <w:jc w:val="right"/>
              <w:rPr>
                <w:b/>
                <w:szCs w:val="24"/>
              </w:rPr>
            </w:pPr>
            <w:r>
              <w:rPr>
                <w:b/>
                <w:szCs w:val="24"/>
              </w:rPr>
              <w:t>£m</w:t>
            </w:r>
          </w:p>
        </w:tc>
        <w:tc>
          <w:tcPr>
            <w:tcW w:w="236" w:type="dxa"/>
            <w:tcBorders>
              <w:right w:val="single" w:sz="18" w:space="0" w:color="FFFFFF" w:themeColor="background1"/>
            </w:tcBorders>
          </w:tcPr>
          <w:p w:rsidR="009A3AFE" w:rsidRDefault="009A3AFE" w:rsidP="009A3AFE">
            <w:pPr>
              <w:jc w:val="right"/>
              <w:rPr>
                <w:b/>
                <w:szCs w:val="24"/>
              </w:rPr>
            </w:pPr>
          </w:p>
        </w:tc>
        <w:tc>
          <w:tcPr>
            <w:tcW w:w="1283" w:type="dxa"/>
            <w:tcBorders>
              <w:left w:val="single" w:sz="18" w:space="0" w:color="FFFFFF" w:themeColor="background1"/>
            </w:tcBorders>
          </w:tcPr>
          <w:p w:rsidR="009A3AFE" w:rsidRDefault="009A3AFE" w:rsidP="009A3AFE">
            <w:pPr>
              <w:jc w:val="right"/>
              <w:rPr>
                <w:b/>
                <w:szCs w:val="24"/>
              </w:rPr>
            </w:pPr>
            <w:r>
              <w:rPr>
                <w:b/>
                <w:szCs w:val="24"/>
              </w:rPr>
              <w:t>Total</w:t>
            </w:r>
          </w:p>
          <w:p w:rsidR="009A3AFE" w:rsidRDefault="009A3AFE" w:rsidP="009A3AFE">
            <w:pPr>
              <w:jc w:val="right"/>
              <w:rPr>
                <w:b/>
                <w:szCs w:val="24"/>
              </w:rPr>
            </w:pPr>
            <w:r>
              <w:rPr>
                <w:b/>
                <w:szCs w:val="24"/>
              </w:rPr>
              <w:t>£m</w:t>
            </w:r>
          </w:p>
          <w:p w:rsidR="009A3AFE" w:rsidRDefault="009A3AFE" w:rsidP="009A3AFE">
            <w:pPr>
              <w:jc w:val="right"/>
              <w:rPr>
                <w:b/>
                <w:szCs w:val="24"/>
              </w:rPr>
            </w:pPr>
          </w:p>
        </w:tc>
      </w:tr>
      <w:tr w:rsidR="009A3AFE" w:rsidTr="009A3AFE">
        <w:tc>
          <w:tcPr>
            <w:tcW w:w="5058" w:type="dxa"/>
          </w:tcPr>
          <w:p w:rsidR="009A3AFE" w:rsidRPr="00CD28F8" w:rsidRDefault="009A3AFE" w:rsidP="009A3AFE">
            <w:pPr>
              <w:rPr>
                <w:szCs w:val="24"/>
              </w:rPr>
            </w:pPr>
            <w:r>
              <w:rPr>
                <w:szCs w:val="24"/>
              </w:rPr>
              <w:t>Value at the start of the year</w:t>
            </w:r>
          </w:p>
        </w:tc>
        <w:tc>
          <w:tcPr>
            <w:tcW w:w="1843" w:type="dxa"/>
          </w:tcPr>
          <w:p w:rsidR="009A3AFE" w:rsidRPr="00CD28F8" w:rsidRDefault="009A3AFE" w:rsidP="009A3AFE">
            <w:pPr>
              <w:spacing w:after="120"/>
              <w:jc w:val="right"/>
              <w:rPr>
                <w:szCs w:val="24"/>
              </w:rPr>
            </w:pPr>
            <w:r w:rsidRPr="00CD28F8">
              <w:rPr>
                <w:szCs w:val="24"/>
              </w:rPr>
              <w:t>1</w:t>
            </w:r>
            <w:r>
              <w:rPr>
                <w:szCs w:val="24"/>
              </w:rPr>
              <w:t>.4</w:t>
            </w:r>
          </w:p>
        </w:tc>
        <w:tc>
          <w:tcPr>
            <w:tcW w:w="236" w:type="dxa"/>
            <w:tcBorders>
              <w:right w:val="single" w:sz="18" w:space="0" w:color="FFFFFF" w:themeColor="background1"/>
            </w:tcBorders>
          </w:tcPr>
          <w:p w:rsidR="009A3AFE" w:rsidRPr="00CD28F8" w:rsidRDefault="009A3AFE" w:rsidP="009A3AFE">
            <w:pPr>
              <w:spacing w:after="120"/>
              <w:jc w:val="right"/>
              <w:rPr>
                <w:szCs w:val="24"/>
              </w:rPr>
            </w:pPr>
          </w:p>
        </w:tc>
        <w:tc>
          <w:tcPr>
            <w:tcW w:w="1465" w:type="dxa"/>
            <w:tcBorders>
              <w:left w:val="single" w:sz="18" w:space="0" w:color="FFFFFF" w:themeColor="background1"/>
            </w:tcBorders>
          </w:tcPr>
          <w:p w:rsidR="009A3AFE" w:rsidRPr="00CD28F8" w:rsidRDefault="009A3AFE" w:rsidP="009A3AFE">
            <w:pPr>
              <w:spacing w:after="120"/>
              <w:jc w:val="right"/>
              <w:rPr>
                <w:szCs w:val="24"/>
              </w:rPr>
            </w:pPr>
            <w:r w:rsidRPr="00CD28F8">
              <w:rPr>
                <w:szCs w:val="24"/>
              </w:rPr>
              <w:t>15</w:t>
            </w:r>
          </w:p>
        </w:tc>
        <w:tc>
          <w:tcPr>
            <w:tcW w:w="236" w:type="dxa"/>
            <w:tcBorders>
              <w:right w:val="single" w:sz="18" w:space="0" w:color="FFFFFF" w:themeColor="background1"/>
            </w:tcBorders>
          </w:tcPr>
          <w:p w:rsidR="009A3AFE" w:rsidRPr="00CD28F8" w:rsidRDefault="009A3AFE" w:rsidP="009A3AFE">
            <w:pPr>
              <w:spacing w:after="120"/>
              <w:jc w:val="right"/>
              <w:rPr>
                <w:szCs w:val="24"/>
              </w:rPr>
            </w:pPr>
          </w:p>
        </w:tc>
        <w:tc>
          <w:tcPr>
            <w:tcW w:w="1283" w:type="dxa"/>
            <w:tcBorders>
              <w:left w:val="single" w:sz="18" w:space="0" w:color="FFFFFF" w:themeColor="background1"/>
            </w:tcBorders>
          </w:tcPr>
          <w:p w:rsidR="009A3AFE" w:rsidRPr="00CD28F8" w:rsidRDefault="009A3AFE" w:rsidP="009A3AFE">
            <w:pPr>
              <w:spacing w:after="120"/>
              <w:jc w:val="right"/>
              <w:rPr>
                <w:szCs w:val="24"/>
              </w:rPr>
            </w:pPr>
            <w:r w:rsidRPr="00CD28F8">
              <w:rPr>
                <w:szCs w:val="24"/>
              </w:rPr>
              <w:t>16</w:t>
            </w:r>
            <w:r>
              <w:rPr>
                <w:szCs w:val="24"/>
              </w:rPr>
              <w:t>.4</w:t>
            </w:r>
          </w:p>
        </w:tc>
      </w:tr>
      <w:tr w:rsidR="009A3AFE" w:rsidTr="009A3AFE">
        <w:tc>
          <w:tcPr>
            <w:tcW w:w="5058" w:type="dxa"/>
          </w:tcPr>
          <w:p w:rsidR="009A3AFE" w:rsidRDefault="009A3AFE" w:rsidP="009A3AFE">
            <w:pPr>
              <w:spacing w:after="120"/>
              <w:rPr>
                <w:szCs w:val="24"/>
              </w:rPr>
            </w:pPr>
            <w:r>
              <w:rPr>
                <w:szCs w:val="24"/>
              </w:rPr>
              <w:t>Income (incl. Contributions, bonuses, interest, transfers in)</w:t>
            </w:r>
          </w:p>
        </w:tc>
        <w:tc>
          <w:tcPr>
            <w:tcW w:w="1843" w:type="dxa"/>
          </w:tcPr>
          <w:p w:rsidR="009A3AFE" w:rsidRPr="00CD28F8" w:rsidRDefault="009A3AFE" w:rsidP="009A3AFE">
            <w:pPr>
              <w:spacing w:after="120"/>
              <w:jc w:val="right"/>
              <w:rPr>
                <w:szCs w:val="24"/>
              </w:rPr>
            </w:pPr>
            <w:r>
              <w:rPr>
                <w:szCs w:val="24"/>
              </w:rPr>
              <w:t>0.1</w:t>
            </w:r>
          </w:p>
        </w:tc>
        <w:tc>
          <w:tcPr>
            <w:tcW w:w="236" w:type="dxa"/>
            <w:tcBorders>
              <w:right w:val="single" w:sz="18" w:space="0" w:color="FFFFFF" w:themeColor="background1"/>
            </w:tcBorders>
          </w:tcPr>
          <w:p w:rsidR="009A3AFE" w:rsidRPr="00CD28F8" w:rsidRDefault="009A3AFE" w:rsidP="009A3AFE">
            <w:pPr>
              <w:spacing w:after="120"/>
              <w:jc w:val="right"/>
              <w:rPr>
                <w:szCs w:val="24"/>
              </w:rPr>
            </w:pPr>
          </w:p>
        </w:tc>
        <w:tc>
          <w:tcPr>
            <w:tcW w:w="1465" w:type="dxa"/>
            <w:tcBorders>
              <w:left w:val="single" w:sz="18" w:space="0" w:color="FFFFFF" w:themeColor="background1"/>
            </w:tcBorders>
          </w:tcPr>
          <w:p w:rsidR="009A3AFE" w:rsidRPr="00CD28F8" w:rsidRDefault="009A3AFE" w:rsidP="009A3AFE">
            <w:pPr>
              <w:spacing w:after="120"/>
              <w:jc w:val="right"/>
              <w:rPr>
                <w:szCs w:val="24"/>
              </w:rPr>
            </w:pPr>
            <w:r>
              <w:rPr>
                <w:szCs w:val="24"/>
              </w:rPr>
              <w:t>3.7</w:t>
            </w:r>
          </w:p>
        </w:tc>
        <w:tc>
          <w:tcPr>
            <w:tcW w:w="236" w:type="dxa"/>
            <w:tcBorders>
              <w:right w:val="single" w:sz="18" w:space="0" w:color="FFFFFF" w:themeColor="background1"/>
            </w:tcBorders>
          </w:tcPr>
          <w:p w:rsidR="009A3AFE" w:rsidRPr="00CD28F8" w:rsidRDefault="009A3AFE" w:rsidP="009A3AFE">
            <w:pPr>
              <w:spacing w:after="120"/>
              <w:jc w:val="right"/>
              <w:rPr>
                <w:szCs w:val="24"/>
              </w:rPr>
            </w:pPr>
          </w:p>
        </w:tc>
        <w:tc>
          <w:tcPr>
            <w:tcW w:w="1283" w:type="dxa"/>
            <w:tcBorders>
              <w:left w:val="single" w:sz="18" w:space="0" w:color="FFFFFF" w:themeColor="background1"/>
            </w:tcBorders>
          </w:tcPr>
          <w:p w:rsidR="009A3AFE" w:rsidRPr="00CD28F8" w:rsidRDefault="009A3AFE" w:rsidP="009A3AFE">
            <w:pPr>
              <w:spacing w:after="120"/>
              <w:jc w:val="right"/>
              <w:rPr>
                <w:szCs w:val="24"/>
              </w:rPr>
            </w:pPr>
            <w:r>
              <w:rPr>
                <w:szCs w:val="24"/>
              </w:rPr>
              <w:t>3.8</w:t>
            </w:r>
          </w:p>
        </w:tc>
      </w:tr>
      <w:tr w:rsidR="009A3AFE" w:rsidTr="009A3AFE">
        <w:tc>
          <w:tcPr>
            <w:tcW w:w="5058" w:type="dxa"/>
          </w:tcPr>
          <w:p w:rsidR="009A3AFE" w:rsidRDefault="009A3AFE" w:rsidP="009A3AFE">
            <w:pPr>
              <w:spacing w:after="120"/>
              <w:rPr>
                <w:szCs w:val="24"/>
              </w:rPr>
            </w:pPr>
            <w:r>
              <w:rPr>
                <w:szCs w:val="24"/>
              </w:rPr>
              <w:t>Expenditure (incl. Benefits, transfers out, change in market value)</w:t>
            </w:r>
          </w:p>
        </w:tc>
        <w:tc>
          <w:tcPr>
            <w:tcW w:w="1843" w:type="dxa"/>
            <w:tcBorders>
              <w:bottom w:val="single" w:sz="18" w:space="0" w:color="auto"/>
            </w:tcBorders>
          </w:tcPr>
          <w:p w:rsidR="009A3AFE" w:rsidRPr="00CD28F8" w:rsidRDefault="009A3AFE" w:rsidP="009A3AFE">
            <w:pPr>
              <w:spacing w:after="120"/>
              <w:jc w:val="right"/>
              <w:rPr>
                <w:szCs w:val="24"/>
              </w:rPr>
            </w:pPr>
            <w:r>
              <w:rPr>
                <w:szCs w:val="24"/>
              </w:rPr>
              <w:t>(0.3)</w:t>
            </w:r>
          </w:p>
        </w:tc>
        <w:tc>
          <w:tcPr>
            <w:tcW w:w="236" w:type="dxa"/>
            <w:tcBorders>
              <w:right w:val="single" w:sz="18" w:space="0" w:color="FFFFFF" w:themeColor="background1"/>
            </w:tcBorders>
          </w:tcPr>
          <w:p w:rsidR="009A3AFE" w:rsidRPr="00CD28F8" w:rsidRDefault="009A3AFE" w:rsidP="009A3AFE">
            <w:pPr>
              <w:spacing w:after="120"/>
              <w:jc w:val="right"/>
              <w:rPr>
                <w:szCs w:val="24"/>
              </w:rPr>
            </w:pPr>
          </w:p>
        </w:tc>
        <w:tc>
          <w:tcPr>
            <w:tcW w:w="1465" w:type="dxa"/>
            <w:tcBorders>
              <w:left w:val="single" w:sz="18" w:space="0" w:color="FFFFFF" w:themeColor="background1"/>
              <w:bottom w:val="single" w:sz="18" w:space="0" w:color="auto"/>
            </w:tcBorders>
          </w:tcPr>
          <w:p w:rsidR="009A3AFE" w:rsidRPr="00CD28F8" w:rsidRDefault="009A3AFE" w:rsidP="009A3AFE">
            <w:pPr>
              <w:spacing w:after="120"/>
              <w:jc w:val="right"/>
              <w:rPr>
                <w:szCs w:val="24"/>
              </w:rPr>
            </w:pPr>
            <w:r>
              <w:rPr>
                <w:szCs w:val="24"/>
              </w:rPr>
              <w:t>(4.5)</w:t>
            </w:r>
          </w:p>
        </w:tc>
        <w:tc>
          <w:tcPr>
            <w:tcW w:w="236" w:type="dxa"/>
            <w:tcBorders>
              <w:right w:val="single" w:sz="18" w:space="0" w:color="FFFFFF" w:themeColor="background1"/>
            </w:tcBorders>
          </w:tcPr>
          <w:p w:rsidR="009A3AFE" w:rsidRPr="00CD28F8" w:rsidRDefault="009A3AFE" w:rsidP="009A3AFE">
            <w:pPr>
              <w:spacing w:after="120"/>
              <w:jc w:val="right"/>
              <w:rPr>
                <w:szCs w:val="24"/>
              </w:rPr>
            </w:pPr>
          </w:p>
        </w:tc>
        <w:tc>
          <w:tcPr>
            <w:tcW w:w="1283" w:type="dxa"/>
            <w:tcBorders>
              <w:left w:val="single" w:sz="18" w:space="0" w:color="FFFFFF" w:themeColor="background1"/>
              <w:bottom w:val="single" w:sz="18" w:space="0" w:color="auto"/>
            </w:tcBorders>
          </w:tcPr>
          <w:p w:rsidR="009A3AFE" w:rsidRPr="00CD28F8" w:rsidRDefault="009A3AFE" w:rsidP="009A3AFE">
            <w:pPr>
              <w:spacing w:after="120"/>
              <w:jc w:val="right"/>
              <w:rPr>
                <w:szCs w:val="24"/>
              </w:rPr>
            </w:pPr>
            <w:r>
              <w:rPr>
                <w:szCs w:val="24"/>
              </w:rPr>
              <w:t>(4.8)</w:t>
            </w:r>
          </w:p>
        </w:tc>
      </w:tr>
      <w:tr w:rsidR="009A3AFE" w:rsidTr="009A3AFE">
        <w:tc>
          <w:tcPr>
            <w:tcW w:w="5058" w:type="dxa"/>
          </w:tcPr>
          <w:p w:rsidR="009A3AFE" w:rsidRDefault="009A3AFE" w:rsidP="009A3AFE">
            <w:pPr>
              <w:rPr>
                <w:szCs w:val="24"/>
              </w:rPr>
            </w:pPr>
            <w:r>
              <w:rPr>
                <w:szCs w:val="24"/>
              </w:rPr>
              <w:t>Value at the end of the year</w:t>
            </w:r>
          </w:p>
        </w:tc>
        <w:tc>
          <w:tcPr>
            <w:tcW w:w="1843" w:type="dxa"/>
            <w:tcBorders>
              <w:top w:val="single" w:sz="18" w:space="0" w:color="auto"/>
              <w:bottom w:val="single" w:sz="18" w:space="0" w:color="auto"/>
            </w:tcBorders>
          </w:tcPr>
          <w:p w:rsidR="009A3AFE" w:rsidRPr="00CD28F8" w:rsidRDefault="009A3AFE" w:rsidP="009A3AFE">
            <w:pPr>
              <w:spacing w:after="120"/>
              <w:jc w:val="right"/>
              <w:rPr>
                <w:szCs w:val="24"/>
              </w:rPr>
            </w:pPr>
            <w:r>
              <w:rPr>
                <w:szCs w:val="24"/>
              </w:rPr>
              <w:t>1.2</w:t>
            </w:r>
          </w:p>
        </w:tc>
        <w:tc>
          <w:tcPr>
            <w:tcW w:w="236" w:type="dxa"/>
            <w:tcBorders>
              <w:right w:val="single" w:sz="18" w:space="0" w:color="FFFFFF" w:themeColor="background1"/>
            </w:tcBorders>
          </w:tcPr>
          <w:p w:rsidR="009A3AFE" w:rsidRPr="00CD28F8" w:rsidRDefault="009A3AFE" w:rsidP="009A3AFE">
            <w:pPr>
              <w:spacing w:after="120"/>
              <w:jc w:val="right"/>
              <w:rPr>
                <w:szCs w:val="24"/>
              </w:rPr>
            </w:pPr>
          </w:p>
        </w:tc>
        <w:tc>
          <w:tcPr>
            <w:tcW w:w="1465" w:type="dxa"/>
            <w:tcBorders>
              <w:top w:val="single" w:sz="18" w:space="0" w:color="auto"/>
              <w:left w:val="single" w:sz="18" w:space="0" w:color="FFFFFF" w:themeColor="background1"/>
              <w:bottom w:val="single" w:sz="18" w:space="0" w:color="auto"/>
            </w:tcBorders>
          </w:tcPr>
          <w:p w:rsidR="009A3AFE" w:rsidRPr="00CD28F8" w:rsidRDefault="009A3AFE" w:rsidP="009A3AFE">
            <w:pPr>
              <w:spacing w:after="120"/>
              <w:jc w:val="right"/>
              <w:rPr>
                <w:szCs w:val="24"/>
              </w:rPr>
            </w:pPr>
            <w:r>
              <w:rPr>
                <w:szCs w:val="24"/>
              </w:rPr>
              <w:t>14.2</w:t>
            </w:r>
          </w:p>
        </w:tc>
        <w:tc>
          <w:tcPr>
            <w:tcW w:w="236" w:type="dxa"/>
            <w:tcBorders>
              <w:right w:val="single" w:sz="18" w:space="0" w:color="FFFFFF" w:themeColor="background1"/>
            </w:tcBorders>
          </w:tcPr>
          <w:p w:rsidR="009A3AFE" w:rsidRPr="00CD28F8" w:rsidRDefault="009A3AFE" w:rsidP="009A3AFE">
            <w:pPr>
              <w:spacing w:after="120"/>
              <w:jc w:val="right"/>
              <w:rPr>
                <w:szCs w:val="24"/>
              </w:rPr>
            </w:pPr>
          </w:p>
        </w:tc>
        <w:tc>
          <w:tcPr>
            <w:tcW w:w="1283" w:type="dxa"/>
            <w:tcBorders>
              <w:top w:val="single" w:sz="18" w:space="0" w:color="auto"/>
              <w:left w:val="single" w:sz="18" w:space="0" w:color="FFFFFF" w:themeColor="background1"/>
              <w:bottom w:val="single" w:sz="18" w:space="0" w:color="auto"/>
            </w:tcBorders>
          </w:tcPr>
          <w:p w:rsidR="009A3AFE" w:rsidRPr="00CD28F8" w:rsidRDefault="009A3AFE" w:rsidP="009A3AFE">
            <w:pPr>
              <w:spacing w:after="120"/>
              <w:jc w:val="right"/>
              <w:rPr>
                <w:szCs w:val="24"/>
              </w:rPr>
            </w:pPr>
            <w:r>
              <w:rPr>
                <w:szCs w:val="24"/>
              </w:rPr>
              <w:t>15.4</w:t>
            </w:r>
          </w:p>
        </w:tc>
      </w:tr>
    </w:tbl>
    <w:p w:rsidR="009A3AFE" w:rsidRDefault="009A3AFE" w:rsidP="009A3AFE">
      <w:pPr>
        <w:pStyle w:val="BodyTextIndent"/>
        <w:tabs>
          <w:tab w:val="clear" w:pos="1080"/>
          <w:tab w:val="left" w:pos="709"/>
        </w:tabs>
        <w:spacing w:after="0"/>
        <w:ind w:left="709"/>
        <w:rPr>
          <w:szCs w:val="24"/>
        </w:rPr>
      </w:pPr>
    </w:p>
    <w:p w:rsidR="009A3AFE" w:rsidRPr="00166665" w:rsidRDefault="009A3AFE" w:rsidP="009A3AFE">
      <w:pPr>
        <w:pStyle w:val="BodyTextIndent"/>
        <w:tabs>
          <w:tab w:val="clear" w:pos="1080"/>
          <w:tab w:val="left" w:pos="709"/>
        </w:tabs>
        <w:spacing w:after="0"/>
        <w:ind w:left="709"/>
        <w:rPr>
          <w:szCs w:val="24"/>
        </w:rPr>
      </w:pPr>
    </w:p>
    <w:p w:rsidR="009A3AFE" w:rsidRPr="006A4B48" w:rsidRDefault="009A3AFE" w:rsidP="009A3AFE">
      <w:pPr>
        <w:numPr>
          <w:ilvl w:val="0"/>
          <w:numId w:val="2"/>
        </w:numPr>
        <w:rPr>
          <w:szCs w:val="24"/>
        </w:rPr>
      </w:pPr>
      <w:r w:rsidRPr="00166665">
        <w:rPr>
          <w:b/>
          <w:szCs w:val="24"/>
        </w:rPr>
        <w:t>Investment management expenses</w:t>
      </w:r>
    </w:p>
    <w:p w:rsidR="009A3AFE" w:rsidRPr="00166665" w:rsidRDefault="009A3AFE" w:rsidP="009A3AFE">
      <w:pPr>
        <w:ind w:left="720"/>
        <w:rPr>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9A3AFE" w:rsidTr="009A3AFE">
        <w:tc>
          <w:tcPr>
            <w:tcW w:w="5058" w:type="dxa"/>
          </w:tcPr>
          <w:p w:rsidR="009A3AFE" w:rsidRDefault="009A3AFE" w:rsidP="009A3AFE">
            <w:pPr>
              <w:rPr>
                <w:b/>
                <w:szCs w:val="24"/>
              </w:rPr>
            </w:pPr>
          </w:p>
        </w:tc>
        <w:tc>
          <w:tcPr>
            <w:tcW w:w="1559" w:type="dxa"/>
          </w:tcPr>
          <w:p w:rsidR="009A3AFE" w:rsidRDefault="009A3AFE" w:rsidP="009A3AFE">
            <w:pPr>
              <w:jc w:val="right"/>
              <w:rPr>
                <w:b/>
                <w:szCs w:val="24"/>
              </w:rPr>
            </w:pPr>
            <w:r>
              <w:rPr>
                <w:b/>
                <w:szCs w:val="24"/>
              </w:rPr>
              <w:t>2011/12</w:t>
            </w:r>
          </w:p>
          <w:p w:rsidR="009A3AFE" w:rsidRDefault="009A3AFE" w:rsidP="009A3AFE">
            <w:pPr>
              <w:jc w:val="right"/>
              <w:rPr>
                <w:b/>
                <w:szCs w:val="24"/>
              </w:rPr>
            </w:pPr>
            <w:r>
              <w:rPr>
                <w:b/>
                <w:szCs w:val="24"/>
              </w:rPr>
              <w:t>£m</w:t>
            </w:r>
          </w:p>
        </w:tc>
        <w:tc>
          <w:tcPr>
            <w:tcW w:w="430" w:type="dxa"/>
            <w:tcBorders>
              <w:right w:val="single" w:sz="4" w:space="0" w:color="FFFFFF" w:themeColor="background1"/>
            </w:tcBorders>
          </w:tcPr>
          <w:p w:rsidR="009A3AFE" w:rsidRDefault="009A3AFE" w:rsidP="009A3AFE">
            <w:pPr>
              <w:jc w:val="right"/>
              <w:rPr>
                <w:b/>
                <w:szCs w:val="24"/>
              </w:rPr>
            </w:pPr>
          </w:p>
          <w:p w:rsidR="009A3AFE" w:rsidRDefault="009A3AFE" w:rsidP="009A3AFE">
            <w:pPr>
              <w:jc w:val="right"/>
              <w:rPr>
                <w:b/>
                <w:szCs w:val="24"/>
              </w:rPr>
            </w:pPr>
          </w:p>
        </w:tc>
        <w:tc>
          <w:tcPr>
            <w:tcW w:w="1696" w:type="dxa"/>
            <w:tcBorders>
              <w:left w:val="single" w:sz="4" w:space="0" w:color="FFFFFF" w:themeColor="background1"/>
            </w:tcBorders>
          </w:tcPr>
          <w:p w:rsidR="009A3AFE" w:rsidRDefault="009A3AFE" w:rsidP="009A3AFE">
            <w:pPr>
              <w:jc w:val="right"/>
              <w:rPr>
                <w:b/>
                <w:szCs w:val="24"/>
              </w:rPr>
            </w:pPr>
            <w:r>
              <w:rPr>
                <w:b/>
                <w:szCs w:val="24"/>
              </w:rPr>
              <w:t>2010/11</w:t>
            </w:r>
          </w:p>
          <w:p w:rsidR="009A3AFE" w:rsidRDefault="009A3AFE" w:rsidP="009A3AFE">
            <w:pPr>
              <w:jc w:val="right"/>
              <w:rPr>
                <w:b/>
                <w:szCs w:val="24"/>
              </w:rPr>
            </w:pPr>
            <w:r>
              <w:rPr>
                <w:b/>
                <w:szCs w:val="24"/>
              </w:rPr>
              <w:t>£m</w:t>
            </w:r>
          </w:p>
          <w:p w:rsidR="009A3AFE" w:rsidRDefault="009A3AFE" w:rsidP="009A3AFE">
            <w:pPr>
              <w:jc w:val="right"/>
              <w:rPr>
                <w:b/>
                <w:szCs w:val="24"/>
              </w:rPr>
            </w:pPr>
          </w:p>
        </w:tc>
      </w:tr>
      <w:tr w:rsidR="009A3AFE" w:rsidRPr="007A07AD" w:rsidTr="009A3AFE">
        <w:tc>
          <w:tcPr>
            <w:tcW w:w="5058" w:type="dxa"/>
          </w:tcPr>
          <w:p w:rsidR="009A3AFE" w:rsidRPr="007A07AD" w:rsidRDefault="009A3AFE" w:rsidP="009A3AFE">
            <w:pPr>
              <w:rPr>
                <w:szCs w:val="24"/>
              </w:rPr>
            </w:pPr>
            <w:r>
              <w:rPr>
                <w:szCs w:val="24"/>
              </w:rPr>
              <w:t>Administration, management and custody</w:t>
            </w:r>
          </w:p>
        </w:tc>
        <w:tc>
          <w:tcPr>
            <w:tcW w:w="1559" w:type="dxa"/>
          </w:tcPr>
          <w:p w:rsidR="009A3AFE" w:rsidRPr="007A07AD" w:rsidRDefault="009A3AFE" w:rsidP="009A3AFE">
            <w:pPr>
              <w:jc w:val="right"/>
              <w:rPr>
                <w:szCs w:val="24"/>
              </w:rPr>
            </w:pPr>
            <w:r>
              <w:rPr>
                <w:szCs w:val="24"/>
              </w:rPr>
              <w:t>6.7</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r>
              <w:rPr>
                <w:szCs w:val="24"/>
              </w:rPr>
              <w:t>6.2</w:t>
            </w:r>
          </w:p>
        </w:tc>
      </w:tr>
      <w:tr w:rsidR="009A3AFE" w:rsidRPr="007A07AD" w:rsidTr="009A3AFE">
        <w:tc>
          <w:tcPr>
            <w:tcW w:w="5058" w:type="dxa"/>
          </w:tcPr>
          <w:p w:rsidR="009A3AFE" w:rsidRDefault="009A3AFE" w:rsidP="009A3AFE">
            <w:pPr>
              <w:rPr>
                <w:szCs w:val="24"/>
              </w:rPr>
            </w:pPr>
            <w:r>
              <w:rPr>
                <w:szCs w:val="24"/>
              </w:rPr>
              <w:t>Performance measurement service</w:t>
            </w:r>
          </w:p>
        </w:tc>
        <w:tc>
          <w:tcPr>
            <w:tcW w:w="1559" w:type="dxa"/>
          </w:tcPr>
          <w:p w:rsidR="009A3AFE" w:rsidRPr="007A07AD" w:rsidRDefault="009A3AFE" w:rsidP="009A3AFE">
            <w:pPr>
              <w:jc w:val="right"/>
              <w:rPr>
                <w:szCs w:val="24"/>
              </w:rPr>
            </w:pPr>
            <w:r>
              <w:rPr>
                <w:szCs w:val="24"/>
              </w:rPr>
              <w:t>0.1</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Default="009A3AFE" w:rsidP="009A3AFE">
            <w:pPr>
              <w:jc w:val="right"/>
              <w:rPr>
                <w:szCs w:val="24"/>
              </w:rPr>
            </w:pPr>
            <w:r>
              <w:rPr>
                <w:szCs w:val="24"/>
              </w:rPr>
              <w:t>0.1</w:t>
            </w:r>
          </w:p>
        </w:tc>
      </w:tr>
      <w:tr w:rsidR="009A3AFE" w:rsidRPr="007A07AD" w:rsidTr="009A3AFE">
        <w:tc>
          <w:tcPr>
            <w:tcW w:w="5058" w:type="dxa"/>
          </w:tcPr>
          <w:p w:rsidR="009A3AFE" w:rsidRDefault="009A3AFE" w:rsidP="009A3AFE">
            <w:pPr>
              <w:rPr>
                <w:szCs w:val="24"/>
              </w:rPr>
            </w:pPr>
            <w:r>
              <w:rPr>
                <w:szCs w:val="24"/>
              </w:rPr>
              <w:t>Other advisory fees</w:t>
            </w:r>
          </w:p>
        </w:tc>
        <w:tc>
          <w:tcPr>
            <w:tcW w:w="1559" w:type="dxa"/>
            <w:tcBorders>
              <w:bottom w:val="single" w:sz="18" w:space="0" w:color="auto"/>
            </w:tcBorders>
          </w:tcPr>
          <w:p w:rsidR="009A3AFE" w:rsidRPr="007A07AD" w:rsidRDefault="009A3AFE" w:rsidP="009A3AFE">
            <w:pPr>
              <w:jc w:val="right"/>
              <w:rPr>
                <w:szCs w:val="24"/>
              </w:rPr>
            </w:pPr>
            <w:r>
              <w:rPr>
                <w:szCs w:val="24"/>
              </w:rPr>
              <w:t>1.5</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bottom w:val="single" w:sz="18" w:space="0" w:color="auto"/>
            </w:tcBorders>
          </w:tcPr>
          <w:p w:rsidR="009A3AFE" w:rsidRDefault="009A3AFE" w:rsidP="009A3AFE">
            <w:pPr>
              <w:jc w:val="right"/>
              <w:rPr>
                <w:szCs w:val="24"/>
              </w:rPr>
            </w:pPr>
            <w:r>
              <w:rPr>
                <w:szCs w:val="24"/>
              </w:rPr>
              <w:t>1.7</w:t>
            </w:r>
          </w:p>
        </w:tc>
      </w:tr>
      <w:tr w:rsidR="009A3AFE" w:rsidRPr="007A07AD" w:rsidTr="009A3AFE">
        <w:tc>
          <w:tcPr>
            <w:tcW w:w="5058" w:type="dxa"/>
          </w:tcPr>
          <w:p w:rsidR="009A3AFE" w:rsidRDefault="009A3AFE" w:rsidP="009A3AFE">
            <w:pPr>
              <w:rPr>
                <w:szCs w:val="24"/>
              </w:rPr>
            </w:pPr>
          </w:p>
        </w:tc>
        <w:tc>
          <w:tcPr>
            <w:tcW w:w="1559" w:type="dxa"/>
            <w:tcBorders>
              <w:top w:val="single" w:sz="18" w:space="0" w:color="auto"/>
              <w:bottom w:val="single" w:sz="18" w:space="0" w:color="auto"/>
            </w:tcBorders>
          </w:tcPr>
          <w:p w:rsidR="009A3AFE" w:rsidRPr="007A07AD" w:rsidRDefault="009A3AFE" w:rsidP="009A3AFE">
            <w:pPr>
              <w:jc w:val="right"/>
              <w:rPr>
                <w:szCs w:val="24"/>
              </w:rPr>
            </w:pPr>
            <w:r>
              <w:rPr>
                <w:szCs w:val="24"/>
              </w:rPr>
              <w:t>8.3</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top w:val="single" w:sz="18" w:space="0" w:color="auto"/>
              <w:left w:val="single" w:sz="4" w:space="0" w:color="FFFFFF" w:themeColor="background1"/>
              <w:bottom w:val="single" w:sz="18" w:space="0" w:color="auto"/>
            </w:tcBorders>
          </w:tcPr>
          <w:p w:rsidR="009A3AFE" w:rsidRDefault="009A3AFE" w:rsidP="009A3AFE">
            <w:pPr>
              <w:jc w:val="right"/>
              <w:rPr>
                <w:szCs w:val="24"/>
              </w:rPr>
            </w:pPr>
            <w:r>
              <w:rPr>
                <w:szCs w:val="24"/>
              </w:rPr>
              <w:t>8.0</w:t>
            </w:r>
          </w:p>
        </w:tc>
      </w:tr>
    </w:tbl>
    <w:p w:rsidR="009A3AFE" w:rsidRDefault="009A3AFE" w:rsidP="009A3AFE">
      <w:pPr>
        <w:pStyle w:val="Header"/>
        <w:rPr>
          <w:szCs w:val="24"/>
        </w:rPr>
      </w:pPr>
    </w:p>
    <w:p w:rsidR="00F332F8" w:rsidRDefault="00F332F8" w:rsidP="009A3AFE">
      <w:pPr>
        <w:pStyle w:val="Header"/>
        <w:rPr>
          <w:szCs w:val="24"/>
        </w:rPr>
      </w:pPr>
    </w:p>
    <w:p w:rsidR="00F332F8" w:rsidRDefault="00F332F8" w:rsidP="009A3AFE">
      <w:pPr>
        <w:pStyle w:val="Header"/>
        <w:rPr>
          <w:szCs w:val="24"/>
        </w:rPr>
      </w:pPr>
    </w:p>
    <w:p w:rsidR="00F332F8" w:rsidRDefault="00F332F8" w:rsidP="009A3AFE">
      <w:pPr>
        <w:pStyle w:val="Header"/>
        <w:rPr>
          <w:szCs w:val="24"/>
        </w:rPr>
      </w:pPr>
    </w:p>
    <w:p w:rsidR="00F332F8" w:rsidRPr="00166665" w:rsidRDefault="00F332F8" w:rsidP="009A3AFE">
      <w:pPr>
        <w:pStyle w:val="Header"/>
        <w:rPr>
          <w:szCs w:val="24"/>
        </w:rPr>
      </w:pPr>
    </w:p>
    <w:p w:rsidR="009A3AFE" w:rsidRPr="006A4B48" w:rsidRDefault="009A3AFE" w:rsidP="009A3AFE">
      <w:pPr>
        <w:numPr>
          <w:ilvl w:val="0"/>
          <w:numId w:val="2"/>
        </w:numPr>
        <w:rPr>
          <w:szCs w:val="24"/>
        </w:rPr>
      </w:pPr>
      <w:r w:rsidRPr="00166665">
        <w:rPr>
          <w:b/>
          <w:szCs w:val="24"/>
        </w:rPr>
        <w:t>Current assets</w:t>
      </w:r>
    </w:p>
    <w:p w:rsidR="009A3AFE" w:rsidRDefault="009A3AFE" w:rsidP="009A3AFE">
      <w:pPr>
        <w:ind w:left="720"/>
        <w:rPr>
          <w:b/>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9A3AFE" w:rsidTr="009A3AFE">
        <w:tc>
          <w:tcPr>
            <w:tcW w:w="5058" w:type="dxa"/>
          </w:tcPr>
          <w:p w:rsidR="009A3AFE" w:rsidRDefault="009A3AFE" w:rsidP="009A3AFE">
            <w:pPr>
              <w:rPr>
                <w:b/>
                <w:szCs w:val="24"/>
              </w:rPr>
            </w:pPr>
          </w:p>
        </w:tc>
        <w:tc>
          <w:tcPr>
            <w:tcW w:w="1559" w:type="dxa"/>
          </w:tcPr>
          <w:p w:rsidR="009A3AFE" w:rsidRDefault="009A3AFE" w:rsidP="009A3AFE">
            <w:pPr>
              <w:jc w:val="right"/>
              <w:rPr>
                <w:b/>
                <w:szCs w:val="24"/>
              </w:rPr>
            </w:pPr>
            <w:r>
              <w:rPr>
                <w:b/>
                <w:szCs w:val="24"/>
              </w:rPr>
              <w:t>2011/12</w:t>
            </w:r>
          </w:p>
          <w:p w:rsidR="009A3AFE" w:rsidRDefault="009A3AFE" w:rsidP="009A3AFE">
            <w:pPr>
              <w:jc w:val="right"/>
              <w:rPr>
                <w:b/>
                <w:szCs w:val="24"/>
              </w:rPr>
            </w:pPr>
            <w:r>
              <w:rPr>
                <w:b/>
                <w:szCs w:val="24"/>
              </w:rPr>
              <w:t>£m</w:t>
            </w:r>
          </w:p>
        </w:tc>
        <w:tc>
          <w:tcPr>
            <w:tcW w:w="430" w:type="dxa"/>
            <w:tcBorders>
              <w:right w:val="single" w:sz="4" w:space="0" w:color="FFFFFF" w:themeColor="background1"/>
            </w:tcBorders>
          </w:tcPr>
          <w:p w:rsidR="009A3AFE" w:rsidRDefault="009A3AFE" w:rsidP="009A3AFE">
            <w:pPr>
              <w:jc w:val="right"/>
              <w:rPr>
                <w:b/>
                <w:szCs w:val="24"/>
              </w:rPr>
            </w:pPr>
          </w:p>
          <w:p w:rsidR="009A3AFE" w:rsidRDefault="009A3AFE" w:rsidP="009A3AFE">
            <w:pPr>
              <w:jc w:val="right"/>
              <w:rPr>
                <w:b/>
                <w:szCs w:val="24"/>
              </w:rPr>
            </w:pPr>
          </w:p>
        </w:tc>
        <w:tc>
          <w:tcPr>
            <w:tcW w:w="1696" w:type="dxa"/>
            <w:tcBorders>
              <w:left w:val="single" w:sz="4" w:space="0" w:color="FFFFFF" w:themeColor="background1"/>
            </w:tcBorders>
          </w:tcPr>
          <w:p w:rsidR="009A3AFE" w:rsidRDefault="009A3AFE" w:rsidP="009A3AFE">
            <w:pPr>
              <w:jc w:val="right"/>
              <w:rPr>
                <w:b/>
                <w:szCs w:val="24"/>
              </w:rPr>
            </w:pPr>
            <w:r>
              <w:rPr>
                <w:b/>
                <w:szCs w:val="24"/>
              </w:rPr>
              <w:t>2010/11</w:t>
            </w:r>
          </w:p>
          <w:p w:rsidR="009A3AFE" w:rsidRDefault="009A3AFE" w:rsidP="009A3AFE">
            <w:pPr>
              <w:jc w:val="right"/>
              <w:rPr>
                <w:b/>
                <w:szCs w:val="24"/>
              </w:rPr>
            </w:pPr>
            <w:r>
              <w:rPr>
                <w:b/>
                <w:szCs w:val="24"/>
              </w:rPr>
              <w:t>£m</w:t>
            </w:r>
          </w:p>
          <w:p w:rsidR="009A3AFE" w:rsidRDefault="009A3AFE" w:rsidP="009A3AFE">
            <w:pPr>
              <w:jc w:val="right"/>
              <w:rPr>
                <w:b/>
                <w:szCs w:val="24"/>
              </w:rPr>
            </w:pPr>
          </w:p>
        </w:tc>
      </w:tr>
      <w:tr w:rsidR="009A3AFE" w:rsidRPr="007A07AD" w:rsidTr="009A3AFE">
        <w:tc>
          <w:tcPr>
            <w:tcW w:w="5058" w:type="dxa"/>
          </w:tcPr>
          <w:p w:rsidR="009A3AFE" w:rsidRPr="007A07AD" w:rsidRDefault="009A3AFE" w:rsidP="009A3AFE">
            <w:pPr>
              <w:rPr>
                <w:szCs w:val="24"/>
              </w:rPr>
            </w:pPr>
            <w:r>
              <w:rPr>
                <w:szCs w:val="24"/>
              </w:rPr>
              <w:t>Contributions due from: Employers</w:t>
            </w:r>
          </w:p>
        </w:tc>
        <w:tc>
          <w:tcPr>
            <w:tcW w:w="1559" w:type="dxa"/>
          </w:tcPr>
          <w:p w:rsidR="009A3AFE" w:rsidRPr="007A07AD" w:rsidRDefault="009A3AFE" w:rsidP="009A3AFE">
            <w:pPr>
              <w:jc w:val="right"/>
              <w:rPr>
                <w:szCs w:val="24"/>
              </w:rPr>
            </w:pPr>
            <w:r>
              <w:rPr>
                <w:szCs w:val="24"/>
              </w:rPr>
              <w:t>10.4</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r>
              <w:rPr>
                <w:szCs w:val="24"/>
              </w:rPr>
              <w:t>13.3</w:t>
            </w:r>
          </w:p>
        </w:tc>
      </w:tr>
      <w:tr w:rsidR="009A3AFE" w:rsidRPr="007A07AD" w:rsidTr="009A3AFE">
        <w:tc>
          <w:tcPr>
            <w:tcW w:w="5058" w:type="dxa"/>
          </w:tcPr>
          <w:p w:rsidR="009A3AFE" w:rsidRDefault="009A3AFE" w:rsidP="009A3AFE">
            <w:pPr>
              <w:rPr>
                <w:szCs w:val="24"/>
              </w:rPr>
            </w:pPr>
            <w:r>
              <w:rPr>
                <w:szCs w:val="24"/>
              </w:rPr>
              <w:t>Members</w:t>
            </w:r>
          </w:p>
        </w:tc>
        <w:tc>
          <w:tcPr>
            <w:tcW w:w="1559" w:type="dxa"/>
          </w:tcPr>
          <w:p w:rsidR="009A3AFE" w:rsidRPr="007A07AD" w:rsidRDefault="009A3AFE" w:rsidP="009A3AFE">
            <w:pPr>
              <w:jc w:val="right"/>
              <w:rPr>
                <w:szCs w:val="24"/>
              </w:rPr>
            </w:pPr>
            <w:r>
              <w:rPr>
                <w:szCs w:val="24"/>
              </w:rPr>
              <w:t>2.4</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Default="009A3AFE" w:rsidP="009A3AFE">
            <w:pPr>
              <w:jc w:val="right"/>
              <w:rPr>
                <w:szCs w:val="24"/>
              </w:rPr>
            </w:pPr>
            <w:r>
              <w:rPr>
                <w:szCs w:val="24"/>
              </w:rPr>
              <w:t>2.6</w:t>
            </w:r>
          </w:p>
        </w:tc>
      </w:tr>
      <w:tr w:rsidR="009A3AFE" w:rsidRPr="007A07AD" w:rsidTr="009A3AFE">
        <w:tc>
          <w:tcPr>
            <w:tcW w:w="5058" w:type="dxa"/>
          </w:tcPr>
          <w:p w:rsidR="009A3AFE" w:rsidRDefault="009A3AFE" w:rsidP="009A3AFE">
            <w:pPr>
              <w:rPr>
                <w:szCs w:val="24"/>
              </w:rPr>
            </w:pPr>
            <w:r>
              <w:rPr>
                <w:szCs w:val="24"/>
              </w:rPr>
              <w:t>Transfer values receivable</w:t>
            </w:r>
          </w:p>
        </w:tc>
        <w:tc>
          <w:tcPr>
            <w:tcW w:w="1559" w:type="dxa"/>
          </w:tcPr>
          <w:p w:rsidR="009A3AFE" w:rsidRPr="007A07AD" w:rsidRDefault="009A3AFE" w:rsidP="009A3AFE">
            <w:pPr>
              <w:jc w:val="right"/>
              <w:rPr>
                <w:szCs w:val="24"/>
              </w:rPr>
            </w:pPr>
            <w:r>
              <w:rPr>
                <w:szCs w:val="24"/>
              </w:rPr>
              <w:t>-</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Default="009A3AFE" w:rsidP="009A3AFE">
            <w:pPr>
              <w:jc w:val="right"/>
              <w:rPr>
                <w:szCs w:val="24"/>
              </w:rPr>
            </w:pPr>
            <w:r>
              <w:rPr>
                <w:szCs w:val="24"/>
              </w:rPr>
              <w:t>-</w:t>
            </w:r>
          </w:p>
        </w:tc>
      </w:tr>
      <w:tr w:rsidR="009A3AFE" w:rsidRPr="007A07AD" w:rsidTr="009A3AFE">
        <w:tc>
          <w:tcPr>
            <w:tcW w:w="5058" w:type="dxa"/>
          </w:tcPr>
          <w:p w:rsidR="009A3AFE" w:rsidRDefault="009A3AFE" w:rsidP="009A3AFE">
            <w:pPr>
              <w:rPr>
                <w:szCs w:val="24"/>
              </w:rPr>
            </w:pPr>
            <w:r>
              <w:rPr>
                <w:szCs w:val="24"/>
              </w:rPr>
              <w:t>Sundry Debtors</w:t>
            </w:r>
          </w:p>
        </w:tc>
        <w:tc>
          <w:tcPr>
            <w:tcW w:w="1559" w:type="dxa"/>
          </w:tcPr>
          <w:p w:rsidR="009A3AFE" w:rsidRPr="007A07AD" w:rsidRDefault="009A3AFE" w:rsidP="009A3AFE">
            <w:pPr>
              <w:jc w:val="right"/>
              <w:rPr>
                <w:szCs w:val="24"/>
              </w:rPr>
            </w:pPr>
            <w:r>
              <w:rPr>
                <w:szCs w:val="24"/>
              </w:rPr>
              <w:t>-</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Default="009A3AFE" w:rsidP="009A3AFE">
            <w:pPr>
              <w:jc w:val="right"/>
              <w:rPr>
                <w:szCs w:val="24"/>
              </w:rPr>
            </w:pPr>
            <w:r>
              <w:rPr>
                <w:szCs w:val="24"/>
              </w:rPr>
              <w:t>-</w:t>
            </w:r>
          </w:p>
        </w:tc>
      </w:tr>
      <w:tr w:rsidR="009A3AFE" w:rsidRPr="007A07AD" w:rsidTr="009A3AFE">
        <w:tc>
          <w:tcPr>
            <w:tcW w:w="5058" w:type="dxa"/>
          </w:tcPr>
          <w:p w:rsidR="009A3AFE" w:rsidRDefault="009A3AFE" w:rsidP="009A3AFE">
            <w:pPr>
              <w:rPr>
                <w:szCs w:val="24"/>
              </w:rPr>
            </w:pPr>
            <w:r>
              <w:rPr>
                <w:szCs w:val="24"/>
              </w:rPr>
              <w:t>Cash balances</w:t>
            </w:r>
          </w:p>
        </w:tc>
        <w:tc>
          <w:tcPr>
            <w:tcW w:w="1559" w:type="dxa"/>
          </w:tcPr>
          <w:p w:rsidR="009A3AFE" w:rsidRPr="007A07AD" w:rsidRDefault="009A3AFE" w:rsidP="009A3AFE">
            <w:pPr>
              <w:jc w:val="right"/>
              <w:rPr>
                <w:szCs w:val="24"/>
              </w:rPr>
            </w:pPr>
            <w:r>
              <w:rPr>
                <w:szCs w:val="24"/>
              </w:rPr>
              <w:t>-</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Default="009A3AFE" w:rsidP="009A3AFE">
            <w:pPr>
              <w:jc w:val="right"/>
              <w:rPr>
                <w:szCs w:val="24"/>
              </w:rPr>
            </w:pPr>
            <w:r>
              <w:rPr>
                <w:szCs w:val="24"/>
              </w:rPr>
              <w:t>-</w:t>
            </w:r>
          </w:p>
        </w:tc>
      </w:tr>
      <w:tr w:rsidR="009A3AFE" w:rsidRPr="007A07AD" w:rsidTr="009A3AFE">
        <w:tc>
          <w:tcPr>
            <w:tcW w:w="5058" w:type="dxa"/>
          </w:tcPr>
          <w:p w:rsidR="009A3AFE" w:rsidRDefault="009A3AFE" w:rsidP="009A3AFE">
            <w:pPr>
              <w:rPr>
                <w:szCs w:val="24"/>
              </w:rPr>
            </w:pPr>
            <w:r>
              <w:rPr>
                <w:szCs w:val="24"/>
              </w:rPr>
              <w:t>Debtors: bodies external to general government</w:t>
            </w:r>
          </w:p>
        </w:tc>
        <w:tc>
          <w:tcPr>
            <w:tcW w:w="1559" w:type="dxa"/>
            <w:tcBorders>
              <w:bottom w:val="single" w:sz="18" w:space="0" w:color="auto"/>
            </w:tcBorders>
          </w:tcPr>
          <w:p w:rsidR="009A3AFE" w:rsidRPr="007A07AD" w:rsidRDefault="009A3AFE" w:rsidP="009A3AFE">
            <w:pPr>
              <w:jc w:val="right"/>
              <w:rPr>
                <w:szCs w:val="24"/>
              </w:rPr>
            </w:pPr>
            <w:r>
              <w:rPr>
                <w:szCs w:val="24"/>
              </w:rPr>
              <w:t>10.5</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bottom w:val="single" w:sz="18" w:space="0" w:color="auto"/>
            </w:tcBorders>
          </w:tcPr>
          <w:p w:rsidR="009A3AFE" w:rsidRDefault="009A3AFE" w:rsidP="009A3AFE">
            <w:pPr>
              <w:jc w:val="right"/>
              <w:rPr>
                <w:szCs w:val="24"/>
              </w:rPr>
            </w:pPr>
            <w:r>
              <w:rPr>
                <w:szCs w:val="24"/>
              </w:rPr>
              <w:t>5.7</w:t>
            </w:r>
          </w:p>
        </w:tc>
      </w:tr>
      <w:tr w:rsidR="009A3AFE" w:rsidRPr="007A07AD" w:rsidTr="009A3AFE">
        <w:tc>
          <w:tcPr>
            <w:tcW w:w="5058" w:type="dxa"/>
          </w:tcPr>
          <w:p w:rsidR="009A3AFE" w:rsidRDefault="009A3AFE" w:rsidP="009A3AFE">
            <w:pPr>
              <w:rPr>
                <w:szCs w:val="24"/>
              </w:rPr>
            </w:pPr>
          </w:p>
        </w:tc>
        <w:tc>
          <w:tcPr>
            <w:tcW w:w="1559" w:type="dxa"/>
            <w:tcBorders>
              <w:top w:val="single" w:sz="18" w:space="0" w:color="auto"/>
              <w:bottom w:val="single" w:sz="18" w:space="0" w:color="auto"/>
            </w:tcBorders>
          </w:tcPr>
          <w:p w:rsidR="009A3AFE" w:rsidRPr="007A07AD" w:rsidRDefault="009A3AFE" w:rsidP="009A3AFE">
            <w:pPr>
              <w:jc w:val="right"/>
              <w:rPr>
                <w:szCs w:val="24"/>
              </w:rPr>
            </w:pPr>
            <w:r>
              <w:rPr>
                <w:szCs w:val="24"/>
              </w:rPr>
              <w:t>23.3</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top w:val="single" w:sz="18" w:space="0" w:color="auto"/>
              <w:left w:val="single" w:sz="4" w:space="0" w:color="FFFFFF" w:themeColor="background1"/>
              <w:bottom w:val="single" w:sz="18" w:space="0" w:color="auto"/>
            </w:tcBorders>
          </w:tcPr>
          <w:p w:rsidR="009A3AFE" w:rsidRDefault="009A3AFE" w:rsidP="009A3AFE">
            <w:pPr>
              <w:jc w:val="right"/>
              <w:rPr>
                <w:szCs w:val="24"/>
              </w:rPr>
            </w:pPr>
            <w:r>
              <w:rPr>
                <w:szCs w:val="24"/>
              </w:rPr>
              <w:t>21.6</w:t>
            </w:r>
          </w:p>
        </w:tc>
      </w:tr>
    </w:tbl>
    <w:p w:rsidR="009A3AFE" w:rsidRDefault="009A3AFE" w:rsidP="009A3AFE">
      <w:pPr>
        <w:rPr>
          <w:b/>
          <w:szCs w:val="24"/>
        </w:rPr>
      </w:pPr>
    </w:p>
    <w:p w:rsidR="009A3AFE" w:rsidRDefault="009A3AFE" w:rsidP="009A3AFE">
      <w:pPr>
        <w:ind w:left="720"/>
        <w:rPr>
          <w:b/>
          <w:szCs w:val="24"/>
        </w:rPr>
      </w:pPr>
    </w:p>
    <w:p w:rsidR="009A3AFE" w:rsidRDefault="009A3AFE" w:rsidP="009A3AFE">
      <w:pPr>
        <w:numPr>
          <w:ilvl w:val="0"/>
          <w:numId w:val="2"/>
        </w:numPr>
        <w:rPr>
          <w:b/>
          <w:szCs w:val="24"/>
        </w:rPr>
      </w:pPr>
      <w:r w:rsidRPr="00407552">
        <w:rPr>
          <w:b/>
          <w:szCs w:val="24"/>
        </w:rPr>
        <w:t>Analysis of debtors</w:t>
      </w:r>
    </w:p>
    <w:p w:rsidR="009A3AFE" w:rsidRDefault="009A3AFE" w:rsidP="009A3AFE">
      <w:pPr>
        <w:ind w:left="720"/>
        <w:rPr>
          <w:b/>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9A3AFE" w:rsidTr="009A3AFE">
        <w:tc>
          <w:tcPr>
            <w:tcW w:w="5058" w:type="dxa"/>
          </w:tcPr>
          <w:p w:rsidR="009A3AFE" w:rsidRDefault="009A3AFE" w:rsidP="009A3AFE">
            <w:pPr>
              <w:rPr>
                <w:b/>
                <w:szCs w:val="24"/>
              </w:rPr>
            </w:pPr>
          </w:p>
        </w:tc>
        <w:tc>
          <w:tcPr>
            <w:tcW w:w="1559" w:type="dxa"/>
          </w:tcPr>
          <w:p w:rsidR="009A3AFE" w:rsidRDefault="009A3AFE" w:rsidP="009A3AFE">
            <w:pPr>
              <w:jc w:val="right"/>
              <w:rPr>
                <w:b/>
                <w:szCs w:val="24"/>
              </w:rPr>
            </w:pPr>
            <w:r>
              <w:rPr>
                <w:b/>
                <w:szCs w:val="24"/>
              </w:rPr>
              <w:t>2011/12</w:t>
            </w:r>
          </w:p>
          <w:p w:rsidR="009A3AFE" w:rsidRDefault="009A3AFE" w:rsidP="009A3AFE">
            <w:pPr>
              <w:jc w:val="right"/>
              <w:rPr>
                <w:b/>
                <w:szCs w:val="24"/>
              </w:rPr>
            </w:pPr>
            <w:r>
              <w:rPr>
                <w:b/>
                <w:szCs w:val="24"/>
              </w:rPr>
              <w:t>£m</w:t>
            </w:r>
          </w:p>
        </w:tc>
        <w:tc>
          <w:tcPr>
            <w:tcW w:w="430" w:type="dxa"/>
            <w:tcBorders>
              <w:right w:val="single" w:sz="4" w:space="0" w:color="FFFFFF" w:themeColor="background1"/>
            </w:tcBorders>
          </w:tcPr>
          <w:p w:rsidR="009A3AFE" w:rsidRDefault="009A3AFE" w:rsidP="009A3AFE">
            <w:pPr>
              <w:jc w:val="right"/>
              <w:rPr>
                <w:b/>
                <w:szCs w:val="24"/>
              </w:rPr>
            </w:pPr>
          </w:p>
          <w:p w:rsidR="009A3AFE" w:rsidRDefault="009A3AFE" w:rsidP="009A3AFE">
            <w:pPr>
              <w:jc w:val="right"/>
              <w:rPr>
                <w:b/>
                <w:szCs w:val="24"/>
              </w:rPr>
            </w:pPr>
          </w:p>
        </w:tc>
        <w:tc>
          <w:tcPr>
            <w:tcW w:w="1696" w:type="dxa"/>
            <w:tcBorders>
              <w:left w:val="single" w:sz="4" w:space="0" w:color="FFFFFF" w:themeColor="background1"/>
            </w:tcBorders>
          </w:tcPr>
          <w:p w:rsidR="009A3AFE" w:rsidRDefault="009A3AFE" w:rsidP="009A3AFE">
            <w:pPr>
              <w:jc w:val="right"/>
              <w:rPr>
                <w:b/>
                <w:szCs w:val="24"/>
              </w:rPr>
            </w:pPr>
            <w:r>
              <w:rPr>
                <w:b/>
                <w:szCs w:val="24"/>
              </w:rPr>
              <w:t>2010/11</w:t>
            </w:r>
          </w:p>
          <w:p w:rsidR="009A3AFE" w:rsidRDefault="009A3AFE" w:rsidP="009A3AFE">
            <w:pPr>
              <w:jc w:val="right"/>
              <w:rPr>
                <w:b/>
                <w:szCs w:val="24"/>
              </w:rPr>
            </w:pPr>
            <w:r>
              <w:rPr>
                <w:b/>
                <w:szCs w:val="24"/>
              </w:rPr>
              <w:t>£m</w:t>
            </w:r>
          </w:p>
          <w:p w:rsidR="009A3AFE" w:rsidRDefault="009A3AFE" w:rsidP="009A3AFE">
            <w:pPr>
              <w:jc w:val="right"/>
              <w:rPr>
                <w:b/>
                <w:szCs w:val="24"/>
              </w:rPr>
            </w:pPr>
          </w:p>
        </w:tc>
      </w:tr>
      <w:tr w:rsidR="009A3AFE" w:rsidRPr="007A07AD" w:rsidTr="009A3AFE">
        <w:tc>
          <w:tcPr>
            <w:tcW w:w="5058" w:type="dxa"/>
          </w:tcPr>
          <w:p w:rsidR="009A3AFE" w:rsidRPr="007A07AD" w:rsidRDefault="009A3AFE" w:rsidP="009A3AFE">
            <w:pPr>
              <w:rPr>
                <w:szCs w:val="24"/>
              </w:rPr>
            </w:pPr>
            <w:r>
              <w:rPr>
                <w:szCs w:val="24"/>
              </w:rPr>
              <w:t>Central government bodies</w:t>
            </w:r>
          </w:p>
        </w:tc>
        <w:tc>
          <w:tcPr>
            <w:tcW w:w="1559" w:type="dxa"/>
          </w:tcPr>
          <w:p w:rsidR="009A3AFE" w:rsidRPr="007A07AD" w:rsidRDefault="009A3AFE" w:rsidP="009A3AFE">
            <w:pPr>
              <w:jc w:val="right"/>
              <w:rPr>
                <w:szCs w:val="24"/>
              </w:rPr>
            </w:pPr>
            <w:r>
              <w:rPr>
                <w:szCs w:val="24"/>
              </w:rPr>
              <w:t>-</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r>
              <w:rPr>
                <w:szCs w:val="24"/>
              </w:rPr>
              <w:t>-</w:t>
            </w:r>
          </w:p>
        </w:tc>
      </w:tr>
      <w:tr w:rsidR="009A3AFE" w:rsidRPr="007A07AD" w:rsidTr="009A3AFE">
        <w:tc>
          <w:tcPr>
            <w:tcW w:w="5058" w:type="dxa"/>
          </w:tcPr>
          <w:p w:rsidR="009A3AFE" w:rsidRDefault="009A3AFE" w:rsidP="009A3AFE">
            <w:pPr>
              <w:rPr>
                <w:szCs w:val="24"/>
              </w:rPr>
            </w:pPr>
            <w:r>
              <w:rPr>
                <w:szCs w:val="24"/>
              </w:rPr>
              <w:t>Other local authorities</w:t>
            </w:r>
          </w:p>
        </w:tc>
        <w:tc>
          <w:tcPr>
            <w:tcW w:w="1559" w:type="dxa"/>
          </w:tcPr>
          <w:p w:rsidR="009A3AFE" w:rsidRPr="007A07AD" w:rsidRDefault="009A3AFE" w:rsidP="009A3AFE">
            <w:pPr>
              <w:jc w:val="right"/>
              <w:rPr>
                <w:szCs w:val="24"/>
              </w:rPr>
            </w:pPr>
            <w:r>
              <w:rPr>
                <w:szCs w:val="24"/>
              </w:rPr>
              <w:t>5.5</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Default="009A3AFE" w:rsidP="009A3AFE">
            <w:pPr>
              <w:jc w:val="right"/>
              <w:rPr>
                <w:szCs w:val="24"/>
              </w:rPr>
            </w:pPr>
            <w:r>
              <w:rPr>
                <w:szCs w:val="24"/>
              </w:rPr>
              <w:t>7.3</w:t>
            </w:r>
          </w:p>
        </w:tc>
      </w:tr>
      <w:tr w:rsidR="009A3AFE" w:rsidRPr="007A07AD" w:rsidTr="009A3AFE">
        <w:tc>
          <w:tcPr>
            <w:tcW w:w="5058" w:type="dxa"/>
          </w:tcPr>
          <w:p w:rsidR="009A3AFE" w:rsidRDefault="009A3AFE" w:rsidP="009A3AFE">
            <w:pPr>
              <w:rPr>
                <w:szCs w:val="24"/>
              </w:rPr>
            </w:pPr>
            <w:r>
              <w:rPr>
                <w:szCs w:val="24"/>
              </w:rPr>
              <w:t>NHS bodies</w:t>
            </w:r>
          </w:p>
        </w:tc>
        <w:tc>
          <w:tcPr>
            <w:tcW w:w="1559" w:type="dxa"/>
          </w:tcPr>
          <w:p w:rsidR="009A3AFE" w:rsidRPr="007A07AD" w:rsidRDefault="009A3AFE" w:rsidP="009A3AFE">
            <w:pPr>
              <w:jc w:val="right"/>
              <w:rPr>
                <w:szCs w:val="24"/>
              </w:rPr>
            </w:pPr>
            <w:r>
              <w:rPr>
                <w:szCs w:val="24"/>
              </w:rPr>
              <w:t>-</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Default="009A3AFE" w:rsidP="009A3AFE">
            <w:pPr>
              <w:jc w:val="right"/>
              <w:rPr>
                <w:szCs w:val="24"/>
              </w:rPr>
            </w:pPr>
            <w:r>
              <w:rPr>
                <w:szCs w:val="24"/>
              </w:rPr>
              <w:t>-</w:t>
            </w:r>
          </w:p>
        </w:tc>
      </w:tr>
      <w:tr w:rsidR="009A3AFE" w:rsidRPr="007A07AD" w:rsidTr="009A3AFE">
        <w:tc>
          <w:tcPr>
            <w:tcW w:w="5058" w:type="dxa"/>
          </w:tcPr>
          <w:p w:rsidR="009A3AFE" w:rsidRDefault="009A3AFE" w:rsidP="009A3AFE">
            <w:pPr>
              <w:rPr>
                <w:szCs w:val="24"/>
              </w:rPr>
            </w:pPr>
            <w:r>
              <w:rPr>
                <w:szCs w:val="24"/>
              </w:rPr>
              <w:t>Public corporations and trading funds</w:t>
            </w:r>
          </w:p>
        </w:tc>
        <w:tc>
          <w:tcPr>
            <w:tcW w:w="1559" w:type="dxa"/>
          </w:tcPr>
          <w:p w:rsidR="009A3AFE" w:rsidRPr="007A07AD" w:rsidRDefault="009A3AFE" w:rsidP="009A3AFE">
            <w:pPr>
              <w:jc w:val="right"/>
              <w:rPr>
                <w:szCs w:val="24"/>
              </w:rPr>
            </w:pPr>
            <w:r>
              <w:rPr>
                <w:szCs w:val="24"/>
              </w:rPr>
              <w:t>-</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Default="009A3AFE" w:rsidP="009A3AFE">
            <w:pPr>
              <w:jc w:val="right"/>
              <w:rPr>
                <w:szCs w:val="24"/>
              </w:rPr>
            </w:pPr>
            <w:r>
              <w:rPr>
                <w:szCs w:val="24"/>
              </w:rPr>
              <w:t>-</w:t>
            </w:r>
          </w:p>
        </w:tc>
      </w:tr>
      <w:tr w:rsidR="009A3AFE" w:rsidRPr="007A07AD" w:rsidTr="009A3AFE">
        <w:tc>
          <w:tcPr>
            <w:tcW w:w="5058" w:type="dxa"/>
          </w:tcPr>
          <w:p w:rsidR="009A3AFE" w:rsidRDefault="009A3AFE" w:rsidP="009A3AFE">
            <w:pPr>
              <w:rPr>
                <w:szCs w:val="24"/>
              </w:rPr>
            </w:pPr>
            <w:r>
              <w:rPr>
                <w:szCs w:val="24"/>
              </w:rPr>
              <w:t>Other entities and individuals</w:t>
            </w:r>
          </w:p>
        </w:tc>
        <w:tc>
          <w:tcPr>
            <w:tcW w:w="1559" w:type="dxa"/>
          </w:tcPr>
          <w:p w:rsidR="009A3AFE" w:rsidRPr="007A07AD" w:rsidRDefault="009A3AFE" w:rsidP="009A3AFE">
            <w:pPr>
              <w:jc w:val="right"/>
              <w:rPr>
                <w:szCs w:val="24"/>
              </w:rPr>
            </w:pPr>
            <w:r>
              <w:rPr>
                <w:szCs w:val="24"/>
              </w:rPr>
              <w:t>17.8</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Default="009A3AFE" w:rsidP="009A3AFE">
            <w:pPr>
              <w:jc w:val="right"/>
              <w:rPr>
                <w:szCs w:val="24"/>
              </w:rPr>
            </w:pPr>
            <w:r>
              <w:rPr>
                <w:szCs w:val="24"/>
              </w:rPr>
              <w:t>14.3</w:t>
            </w:r>
          </w:p>
        </w:tc>
      </w:tr>
      <w:tr w:rsidR="009A3AFE" w:rsidRPr="007A07AD" w:rsidTr="009A3AFE">
        <w:tc>
          <w:tcPr>
            <w:tcW w:w="5058" w:type="dxa"/>
          </w:tcPr>
          <w:p w:rsidR="009A3AFE" w:rsidRDefault="009A3AFE" w:rsidP="009A3AFE">
            <w:pPr>
              <w:rPr>
                <w:szCs w:val="24"/>
              </w:rPr>
            </w:pPr>
          </w:p>
        </w:tc>
        <w:tc>
          <w:tcPr>
            <w:tcW w:w="1559" w:type="dxa"/>
            <w:tcBorders>
              <w:top w:val="single" w:sz="18" w:space="0" w:color="auto"/>
              <w:bottom w:val="single" w:sz="18" w:space="0" w:color="auto"/>
            </w:tcBorders>
          </w:tcPr>
          <w:p w:rsidR="009A3AFE" w:rsidRPr="007A07AD" w:rsidRDefault="009A3AFE" w:rsidP="009A3AFE">
            <w:pPr>
              <w:jc w:val="right"/>
              <w:rPr>
                <w:szCs w:val="24"/>
              </w:rPr>
            </w:pPr>
            <w:r>
              <w:rPr>
                <w:szCs w:val="24"/>
              </w:rPr>
              <w:t>23.3</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top w:val="single" w:sz="18" w:space="0" w:color="auto"/>
              <w:left w:val="single" w:sz="4" w:space="0" w:color="FFFFFF" w:themeColor="background1"/>
              <w:bottom w:val="single" w:sz="18" w:space="0" w:color="auto"/>
            </w:tcBorders>
          </w:tcPr>
          <w:p w:rsidR="009A3AFE" w:rsidRDefault="009A3AFE" w:rsidP="009A3AFE">
            <w:pPr>
              <w:jc w:val="right"/>
              <w:rPr>
                <w:szCs w:val="24"/>
              </w:rPr>
            </w:pPr>
            <w:r>
              <w:rPr>
                <w:szCs w:val="24"/>
              </w:rPr>
              <w:t>21.6</w:t>
            </w:r>
          </w:p>
        </w:tc>
      </w:tr>
    </w:tbl>
    <w:p w:rsidR="009A3AFE" w:rsidRDefault="009A3AFE" w:rsidP="009A3AFE">
      <w:pPr>
        <w:pStyle w:val="BodyTextIndent"/>
        <w:ind w:left="709"/>
        <w:rPr>
          <w:szCs w:val="24"/>
        </w:rPr>
      </w:pPr>
    </w:p>
    <w:p w:rsidR="009A3AFE" w:rsidRDefault="009A3AFE" w:rsidP="009A3AFE">
      <w:pPr>
        <w:pStyle w:val="BodyTextIndent"/>
        <w:spacing w:after="0"/>
        <w:ind w:left="709"/>
        <w:rPr>
          <w:szCs w:val="24"/>
        </w:rPr>
      </w:pPr>
      <w:r>
        <w:rPr>
          <w:szCs w:val="24"/>
        </w:rPr>
        <w:t>Included within the contributions due from employers figure is £2.4 million, in relation to a deferred debt due from the Ministry of Justice in transferring Lancashire Magistrates Courts to central government.</w:t>
      </w:r>
    </w:p>
    <w:p w:rsidR="009A3AFE" w:rsidRDefault="009A3AFE" w:rsidP="009A3AFE">
      <w:pPr>
        <w:pStyle w:val="BodyTextIndent"/>
        <w:ind w:left="709"/>
        <w:rPr>
          <w:szCs w:val="24"/>
        </w:rPr>
      </w:pPr>
    </w:p>
    <w:p w:rsidR="009A3AFE" w:rsidRDefault="009A3AFE" w:rsidP="009A3AFE">
      <w:pPr>
        <w:pStyle w:val="BodyTextIndent"/>
        <w:spacing w:after="0"/>
        <w:ind w:left="709"/>
        <w:rPr>
          <w:szCs w:val="24"/>
        </w:rPr>
      </w:pPr>
      <w:r>
        <w:rPr>
          <w:szCs w:val="24"/>
        </w:rPr>
        <w:t>These payments will be received in 10 annual instalments, the total figure having been discounted over the life of the deferral.</w:t>
      </w:r>
    </w:p>
    <w:p w:rsidR="009A3AFE" w:rsidRPr="00166665" w:rsidRDefault="009A3AFE" w:rsidP="009A3AFE">
      <w:pPr>
        <w:pStyle w:val="BodyTextIndent"/>
        <w:ind w:left="709"/>
        <w:rPr>
          <w:szCs w:val="24"/>
        </w:rPr>
      </w:pPr>
    </w:p>
    <w:p w:rsidR="009A3AFE" w:rsidRPr="002040DF" w:rsidRDefault="009A3AFE" w:rsidP="009A3AFE">
      <w:pPr>
        <w:numPr>
          <w:ilvl w:val="0"/>
          <w:numId w:val="2"/>
        </w:numPr>
        <w:rPr>
          <w:szCs w:val="24"/>
        </w:rPr>
      </w:pPr>
      <w:r w:rsidRPr="00166665">
        <w:rPr>
          <w:b/>
          <w:szCs w:val="24"/>
        </w:rPr>
        <w:t>Current liabilities</w:t>
      </w:r>
    </w:p>
    <w:p w:rsidR="009A3AFE" w:rsidRDefault="009A3AFE" w:rsidP="009A3AFE">
      <w:pPr>
        <w:ind w:left="720"/>
        <w:rPr>
          <w:b/>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9A3AFE" w:rsidTr="009A3AFE">
        <w:tc>
          <w:tcPr>
            <w:tcW w:w="5058" w:type="dxa"/>
          </w:tcPr>
          <w:p w:rsidR="009A3AFE" w:rsidRDefault="009A3AFE" w:rsidP="009A3AFE">
            <w:pPr>
              <w:rPr>
                <w:b/>
                <w:szCs w:val="24"/>
              </w:rPr>
            </w:pPr>
          </w:p>
        </w:tc>
        <w:tc>
          <w:tcPr>
            <w:tcW w:w="1559" w:type="dxa"/>
          </w:tcPr>
          <w:p w:rsidR="009A3AFE" w:rsidRDefault="009A3AFE" w:rsidP="009A3AFE">
            <w:pPr>
              <w:jc w:val="right"/>
              <w:rPr>
                <w:b/>
                <w:szCs w:val="24"/>
              </w:rPr>
            </w:pPr>
            <w:r>
              <w:rPr>
                <w:b/>
                <w:szCs w:val="24"/>
              </w:rPr>
              <w:t>2011/12</w:t>
            </w:r>
          </w:p>
          <w:p w:rsidR="009A3AFE" w:rsidRDefault="009A3AFE" w:rsidP="009A3AFE">
            <w:pPr>
              <w:jc w:val="right"/>
              <w:rPr>
                <w:b/>
                <w:szCs w:val="24"/>
              </w:rPr>
            </w:pPr>
            <w:r>
              <w:rPr>
                <w:b/>
                <w:szCs w:val="24"/>
              </w:rPr>
              <w:t>£m</w:t>
            </w:r>
          </w:p>
        </w:tc>
        <w:tc>
          <w:tcPr>
            <w:tcW w:w="430" w:type="dxa"/>
            <w:tcBorders>
              <w:right w:val="single" w:sz="4" w:space="0" w:color="FFFFFF" w:themeColor="background1"/>
            </w:tcBorders>
          </w:tcPr>
          <w:p w:rsidR="009A3AFE" w:rsidRDefault="009A3AFE" w:rsidP="009A3AFE">
            <w:pPr>
              <w:jc w:val="right"/>
              <w:rPr>
                <w:b/>
                <w:szCs w:val="24"/>
              </w:rPr>
            </w:pPr>
          </w:p>
          <w:p w:rsidR="009A3AFE" w:rsidRDefault="009A3AFE" w:rsidP="009A3AFE">
            <w:pPr>
              <w:jc w:val="right"/>
              <w:rPr>
                <w:b/>
                <w:szCs w:val="24"/>
              </w:rPr>
            </w:pPr>
          </w:p>
        </w:tc>
        <w:tc>
          <w:tcPr>
            <w:tcW w:w="1696" w:type="dxa"/>
            <w:tcBorders>
              <w:left w:val="single" w:sz="4" w:space="0" w:color="FFFFFF" w:themeColor="background1"/>
            </w:tcBorders>
          </w:tcPr>
          <w:p w:rsidR="009A3AFE" w:rsidRDefault="009A3AFE" w:rsidP="009A3AFE">
            <w:pPr>
              <w:jc w:val="right"/>
              <w:rPr>
                <w:b/>
                <w:szCs w:val="24"/>
              </w:rPr>
            </w:pPr>
            <w:r>
              <w:rPr>
                <w:b/>
                <w:szCs w:val="24"/>
              </w:rPr>
              <w:t>2010/11</w:t>
            </w:r>
          </w:p>
          <w:p w:rsidR="009A3AFE" w:rsidRDefault="009A3AFE" w:rsidP="009A3AFE">
            <w:pPr>
              <w:jc w:val="right"/>
              <w:rPr>
                <w:b/>
                <w:szCs w:val="24"/>
              </w:rPr>
            </w:pPr>
            <w:r>
              <w:rPr>
                <w:b/>
                <w:szCs w:val="24"/>
              </w:rPr>
              <w:t>£m</w:t>
            </w:r>
          </w:p>
          <w:p w:rsidR="009A3AFE" w:rsidRDefault="009A3AFE" w:rsidP="009A3AFE">
            <w:pPr>
              <w:jc w:val="right"/>
              <w:rPr>
                <w:b/>
                <w:szCs w:val="24"/>
              </w:rPr>
            </w:pPr>
          </w:p>
        </w:tc>
      </w:tr>
      <w:tr w:rsidR="009A3AFE" w:rsidRPr="007A07AD" w:rsidTr="009A3AFE">
        <w:tc>
          <w:tcPr>
            <w:tcW w:w="5058" w:type="dxa"/>
          </w:tcPr>
          <w:p w:rsidR="009A3AFE" w:rsidRPr="007A07AD" w:rsidRDefault="009A3AFE" w:rsidP="009A3AFE">
            <w:pPr>
              <w:rPr>
                <w:szCs w:val="24"/>
              </w:rPr>
            </w:pPr>
            <w:r>
              <w:rPr>
                <w:szCs w:val="24"/>
              </w:rPr>
              <w:t>Unpaid benefits</w:t>
            </w:r>
          </w:p>
        </w:tc>
        <w:tc>
          <w:tcPr>
            <w:tcW w:w="1559" w:type="dxa"/>
          </w:tcPr>
          <w:p w:rsidR="009A3AFE" w:rsidRPr="007A07AD" w:rsidRDefault="009A3AFE" w:rsidP="009A3AFE">
            <w:pPr>
              <w:jc w:val="right"/>
              <w:rPr>
                <w:szCs w:val="24"/>
              </w:rPr>
            </w:pPr>
            <w:r>
              <w:rPr>
                <w:szCs w:val="24"/>
              </w:rPr>
              <w:t>2.8</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r>
              <w:rPr>
                <w:szCs w:val="24"/>
              </w:rPr>
              <w:t>7.7</w:t>
            </w:r>
          </w:p>
        </w:tc>
      </w:tr>
      <w:tr w:rsidR="009A3AFE" w:rsidRPr="007A07AD" w:rsidTr="009A3AFE">
        <w:tc>
          <w:tcPr>
            <w:tcW w:w="5058" w:type="dxa"/>
          </w:tcPr>
          <w:p w:rsidR="009A3AFE" w:rsidRDefault="009A3AFE" w:rsidP="009A3AFE">
            <w:pPr>
              <w:rPr>
                <w:szCs w:val="24"/>
              </w:rPr>
            </w:pPr>
            <w:r>
              <w:rPr>
                <w:szCs w:val="24"/>
              </w:rPr>
              <w:t>Accrued expenses</w:t>
            </w:r>
          </w:p>
        </w:tc>
        <w:tc>
          <w:tcPr>
            <w:tcW w:w="1559" w:type="dxa"/>
          </w:tcPr>
          <w:p w:rsidR="009A3AFE" w:rsidRPr="007A07AD" w:rsidRDefault="009A3AFE" w:rsidP="009A3AFE">
            <w:pPr>
              <w:jc w:val="right"/>
              <w:rPr>
                <w:szCs w:val="24"/>
              </w:rPr>
            </w:pPr>
            <w:r>
              <w:rPr>
                <w:szCs w:val="24"/>
              </w:rPr>
              <w:t>0.4</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Default="009A3AFE" w:rsidP="009A3AFE">
            <w:pPr>
              <w:jc w:val="right"/>
              <w:rPr>
                <w:szCs w:val="24"/>
              </w:rPr>
            </w:pPr>
            <w:r>
              <w:rPr>
                <w:szCs w:val="24"/>
              </w:rPr>
              <w:t>1.5</w:t>
            </w:r>
          </w:p>
        </w:tc>
      </w:tr>
      <w:tr w:rsidR="009A3AFE" w:rsidRPr="007A07AD" w:rsidTr="009A3AFE">
        <w:tc>
          <w:tcPr>
            <w:tcW w:w="5058" w:type="dxa"/>
          </w:tcPr>
          <w:p w:rsidR="009A3AFE" w:rsidRDefault="009A3AFE" w:rsidP="009A3AFE">
            <w:pPr>
              <w:rPr>
                <w:szCs w:val="24"/>
              </w:rPr>
            </w:pPr>
          </w:p>
        </w:tc>
        <w:tc>
          <w:tcPr>
            <w:tcW w:w="1559" w:type="dxa"/>
            <w:tcBorders>
              <w:top w:val="single" w:sz="18" w:space="0" w:color="auto"/>
              <w:bottom w:val="single" w:sz="18" w:space="0" w:color="auto"/>
            </w:tcBorders>
          </w:tcPr>
          <w:p w:rsidR="009A3AFE" w:rsidRPr="007A07AD" w:rsidRDefault="009A3AFE" w:rsidP="009A3AFE">
            <w:pPr>
              <w:jc w:val="right"/>
              <w:rPr>
                <w:szCs w:val="24"/>
              </w:rPr>
            </w:pPr>
            <w:r>
              <w:rPr>
                <w:szCs w:val="24"/>
              </w:rPr>
              <w:t>3.2</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top w:val="single" w:sz="18" w:space="0" w:color="auto"/>
              <w:left w:val="single" w:sz="4" w:space="0" w:color="FFFFFF" w:themeColor="background1"/>
              <w:bottom w:val="single" w:sz="18" w:space="0" w:color="auto"/>
            </w:tcBorders>
          </w:tcPr>
          <w:p w:rsidR="009A3AFE" w:rsidRDefault="009A3AFE" w:rsidP="009A3AFE">
            <w:pPr>
              <w:jc w:val="right"/>
              <w:rPr>
                <w:szCs w:val="24"/>
              </w:rPr>
            </w:pPr>
            <w:r>
              <w:rPr>
                <w:szCs w:val="24"/>
              </w:rPr>
              <w:t>9.2</w:t>
            </w:r>
          </w:p>
        </w:tc>
      </w:tr>
    </w:tbl>
    <w:p w:rsidR="009A3AFE" w:rsidRDefault="009A3AFE" w:rsidP="009A3AFE">
      <w:pPr>
        <w:ind w:left="720"/>
        <w:rPr>
          <w:szCs w:val="24"/>
        </w:rPr>
      </w:pPr>
    </w:p>
    <w:p w:rsidR="009A3AFE" w:rsidRDefault="009A3AFE" w:rsidP="009A3AFE">
      <w:pPr>
        <w:ind w:left="720"/>
        <w:rPr>
          <w:szCs w:val="24"/>
        </w:rPr>
      </w:pPr>
    </w:p>
    <w:p w:rsidR="009A3AFE" w:rsidRDefault="009A3AFE" w:rsidP="009A3AFE">
      <w:pPr>
        <w:ind w:left="720"/>
        <w:rPr>
          <w:szCs w:val="24"/>
        </w:rPr>
      </w:pPr>
    </w:p>
    <w:p w:rsidR="009A3AFE" w:rsidRDefault="009A3AFE" w:rsidP="009A3AFE">
      <w:pPr>
        <w:ind w:left="720"/>
        <w:rPr>
          <w:szCs w:val="24"/>
        </w:rPr>
      </w:pPr>
    </w:p>
    <w:p w:rsidR="009A3AFE" w:rsidRDefault="009A3AFE" w:rsidP="009A3AFE">
      <w:pPr>
        <w:ind w:left="720"/>
        <w:rPr>
          <w:szCs w:val="24"/>
        </w:rPr>
      </w:pPr>
    </w:p>
    <w:p w:rsidR="009A3AFE" w:rsidRPr="00166665" w:rsidRDefault="009A3AFE" w:rsidP="009A3AFE">
      <w:pPr>
        <w:ind w:left="720"/>
        <w:rPr>
          <w:szCs w:val="24"/>
        </w:rPr>
      </w:pPr>
    </w:p>
    <w:p w:rsidR="009A3AFE" w:rsidRDefault="009A3AFE" w:rsidP="009A3AFE">
      <w:pPr>
        <w:numPr>
          <w:ilvl w:val="0"/>
          <w:numId w:val="2"/>
        </w:numPr>
        <w:rPr>
          <w:rFonts w:cs="Arial"/>
          <w:b/>
          <w:bCs/>
          <w:color w:val="000000"/>
          <w:szCs w:val="24"/>
        </w:rPr>
      </w:pPr>
      <w:r w:rsidRPr="00154DB0">
        <w:rPr>
          <w:rFonts w:cs="Arial"/>
          <w:b/>
          <w:bCs/>
          <w:color w:val="000000"/>
          <w:szCs w:val="24"/>
        </w:rPr>
        <w:lastRenderedPageBreak/>
        <w:t>Analysis of creditors</w:t>
      </w:r>
    </w:p>
    <w:p w:rsidR="009A3AFE" w:rsidRPr="009057BB" w:rsidRDefault="009A3AFE" w:rsidP="009A3AFE">
      <w:pPr>
        <w:pStyle w:val="ListParagraph"/>
        <w:rPr>
          <w:b/>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9A3AFE" w:rsidTr="009A3AFE">
        <w:tc>
          <w:tcPr>
            <w:tcW w:w="5058" w:type="dxa"/>
          </w:tcPr>
          <w:p w:rsidR="009A3AFE" w:rsidRDefault="009A3AFE" w:rsidP="009A3AFE">
            <w:pPr>
              <w:rPr>
                <w:b/>
                <w:szCs w:val="24"/>
              </w:rPr>
            </w:pPr>
          </w:p>
        </w:tc>
        <w:tc>
          <w:tcPr>
            <w:tcW w:w="1559" w:type="dxa"/>
          </w:tcPr>
          <w:p w:rsidR="009A3AFE" w:rsidRDefault="009A3AFE" w:rsidP="009A3AFE">
            <w:pPr>
              <w:jc w:val="right"/>
              <w:rPr>
                <w:b/>
                <w:szCs w:val="24"/>
              </w:rPr>
            </w:pPr>
            <w:r>
              <w:rPr>
                <w:b/>
                <w:szCs w:val="24"/>
              </w:rPr>
              <w:t>2011/12</w:t>
            </w:r>
          </w:p>
          <w:p w:rsidR="009A3AFE" w:rsidRDefault="009A3AFE" w:rsidP="009A3AFE">
            <w:pPr>
              <w:jc w:val="right"/>
              <w:rPr>
                <w:b/>
                <w:szCs w:val="24"/>
              </w:rPr>
            </w:pPr>
            <w:r>
              <w:rPr>
                <w:b/>
                <w:szCs w:val="24"/>
              </w:rPr>
              <w:t>£m</w:t>
            </w:r>
          </w:p>
        </w:tc>
        <w:tc>
          <w:tcPr>
            <w:tcW w:w="430" w:type="dxa"/>
            <w:tcBorders>
              <w:right w:val="single" w:sz="4" w:space="0" w:color="FFFFFF" w:themeColor="background1"/>
            </w:tcBorders>
          </w:tcPr>
          <w:p w:rsidR="009A3AFE" w:rsidRDefault="009A3AFE" w:rsidP="009A3AFE">
            <w:pPr>
              <w:jc w:val="right"/>
              <w:rPr>
                <w:b/>
                <w:szCs w:val="24"/>
              </w:rPr>
            </w:pPr>
          </w:p>
          <w:p w:rsidR="009A3AFE" w:rsidRDefault="009A3AFE" w:rsidP="009A3AFE">
            <w:pPr>
              <w:jc w:val="right"/>
              <w:rPr>
                <w:b/>
                <w:szCs w:val="24"/>
              </w:rPr>
            </w:pPr>
          </w:p>
        </w:tc>
        <w:tc>
          <w:tcPr>
            <w:tcW w:w="1696" w:type="dxa"/>
            <w:tcBorders>
              <w:left w:val="single" w:sz="4" w:space="0" w:color="FFFFFF" w:themeColor="background1"/>
            </w:tcBorders>
          </w:tcPr>
          <w:p w:rsidR="009A3AFE" w:rsidRDefault="009A3AFE" w:rsidP="009A3AFE">
            <w:pPr>
              <w:jc w:val="right"/>
              <w:rPr>
                <w:b/>
                <w:szCs w:val="24"/>
              </w:rPr>
            </w:pPr>
            <w:r>
              <w:rPr>
                <w:b/>
                <w:szCs w:val="24"/>
              </w:rPr>
              <w:t>2010/11</w:t>
            </w:r>
          </w:p>
          <w:p w:rsidR="009A3AFE" w:rsidRDefault="009A3AFE" w:rsidP="009A3AFE">
            <w:pPr>
              <w:jc w:val="right"/>
              <w:rPr>
                <w:b/>
                <w:szCs w:val="24"/>
              </w:rPr>
            </w:pPr>
            <w:r>
              <w:rPr>
                <w:b/>
                <w:szCs w:val="24"/>
              </w:rPr>
              <w:t>£m</w:t>
            </w:r>
          </w:p>
          <w:p w:rsidR="009A3AFE" w:rsidRDefault="009A3AFE" w:rsidP="009A3AFE">
            <w:pPr>
              <w:jc w:val="right"/>
              <w:rPr>
                <w:b/>
                <w:szCs w:val="24"/>
              </w:rPr>
            </w:pPr>
          </w:p>
        </w:tc>
      </w:tr>
      <w:tr w:rsidR="009A3AFE" w:rsidRPr="007A07AD" w:rsidTr="009A3AFE">
        <w:tc>
          <w:tcPr>
            <w:tcW w:w="5058" w:type="dxa"/>
          </w:tcPr>
          <w:p w:rsidR="009A3AFE" w:rsidRPr="007A07AD" w:rsidRDefault="009A3AFE" w:rsidP="009A3AFE">
            <w:pPr>
              <w:rPr>
                <w:szCs w:val="24"/>
              </w:rPr>
            </w:pPr>
            <w:r>
              <w:rPr>
                <w:szCs w:val="24"/>
              </w:rPr>
              <w:t>Central government bodies</w:t>
            </w:r>
          </w:p>
        </w:tc>
        <w:tc>
          <w:tcPr>
            <w:tcW w:w="1559" w:type="dxa"/>
          </w:tcPr>
          <w:p w:rsidR="009A3AFE" w:rsidRPr="007A07AD" w:rsidRDefault="009A3AFE" w:rsidP="009A3AFE">
            <w:pPr>
              <w:jc w:val="right"/>
              <w:rPr>
                <w:szCs w:val="24"/>
              </w:rPr>
            </w:pPr>
            <w:r>
              <w:rPr>
                <w:szCs w:val="24"/>
              </w:rPr>
              <w:t>-</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Pr="007A07AD" w:rsidRDefault="009A3AFE" w:rsidP="009A3AFE">
            <w:pPr>
              <w:jc w:val="right"/>
              <w:rPr>
                <w:szCs w:val="24"/>
              </w:rPr>
            </w:pPr>
            <w:r>
              <w:rPr>
                <w:szCs w:val="24"/>
              </w:rPr>
              <w:t>-</w:t>
            </w:r>
          </w:p>
        </w:tc>
      </w:tr>
      <w:tr w:rsidR="009A3AFE" w:rsidRPr="007A07AD" w:rsidTr="009A3AFE">
        <w:tc>
          <w:tcPr>
            <w:tcW w:w="5058" w:type="dxa"/>
          </w:tcPr>
          <w:p w:rsidR="009A3AFE" w:rsidRDefault="009A3AFE" w:rsidP="009A3AFE">
            <w:pPr>
              <w:rPr>
                <w:szCs w:val="24"/>
              </w:rPr>
            </w:pPr>
            <w:r>
              <w:rPr>
                <w:szCs w:val="24"/>
              </w:rPr>
              <w:t>Other local authorities</w:t>
            </w:r>
          </w:p>
        </w:tc>
        <w:tc>
          <w:tcPr>
            <w:tcW w:w="1559" w:type="dxa"/>
          </w:tcPr>
          <w:p w:rsidR="009A3AFE" w:rsidRPr="007A07AD" w:rsidRDefault="009A3AFE" w:rsidP="009A3AFE">
            <w:pPr>
              <w:jc w:val="right"/>
              <w:rPr>
                <w:szCs w:val="24"/>
              </w:rPr>
            </w:pPr>
            <w:r>
              <w:rPr>
                <w:szCs w:val="24"/>
              </w:rPr>
              <w:t>(1.2)</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Default="009A3AFE" w:rsidP="009A3AFE">
            <w:pPr>
              <w:jc w:val="right"/>
              <w:rPr>
                <w:szCs w:val="24"/>
              </w:rPr>
            </w:pPr>
            <w:r>
              <w:rPr>
                <w:szCs w:val="24"/>
              </w:rPr>
              <w:t>(2.8)</w:t>
            </w:r>
          </w:p>
        </w:tc>
      </w:tr>
      <w:tr w:rsidR="009A3AFE" w:rsidRPr="007A07AD" w:rsidTr="009A3AFE">
        <w:tc>
          <w:tcPr>
            <w:tcW w:w="5058" w:type="dxa"/>
          </w:tcPr>
          <w:p w:rsidR="009A3AFE" w:rsidRDefault="009A3AFE" w:rsidP="009A3AFE">
            <w:pPr>
              <w:rPr>
                <w:szCs w:val="24"/>
              </w:rPr>
            </w:pPr>
            <w:r>
              <w:rPr>
                <w:szCs w:val="24"/>
              </w:rPr>
              <w:t>NHS bodies</w:t>
            </w:r>
          </w:p>
        </w:tc>
        <w:tc>
          <w:tcPr>
            <w:tcW w:w="1559" w:type="dxa"/>
          </w:tcPr>
          <w:p w:rsidR="009A3AFE" w:rsidRPr="007A07AD" w:rsidRDefault="009A3AFE" w:rsidP="009A3AFE">
            <w:pPr>
              <w:jc w:val="right"/>
              <w:rPr>
                <w:szCs w:val="24"/>
              </w:rPr>
            </w:pPr>
            <w:r>
              <w:rPr>
                <w:szCs w:val="24"/>
              </w:rPr>
              <w:t>-</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Default="009A3AFE" w:rsidP="009A3AFE">
            <w:pPr>
              <w:jc w:val="right"/>
              <w:rPr>
                <w:szCs w:val="24"/>
              </w:rPr>
            </w:pPr>
            <w:r>
              <w:rPr>
                <w:szCs w:val="24"/>
              </w:rPr>
              <w:t>-</w:t>
            </w:r>
          </w:p>
        </w:tc>
      </w:tr>
      <w:tr w:rsidR="009A3AFE" w:rsidRPr="007A07AD" w:rsidTr="009A3AFE">
        <w:tc>
          <w:tcPr>
            <w:tcW w:w="5058" w:type="dxa"/>
          </w:tcPr>
          <w:p w:rsidR="009A3AFE" w:rsidRDefault="009A3AFE" w:rsidP="009A3AFE">
            <w:pPr>
              <w:rPr>
                <w:szCs w:val="24"/>
              </w:rPr>
            </w:pPr>
            <w:r>
              <w:rPr>
                <w:szCs w:val="24"/>
              </w:rPr>
              <w:t>Public corporations and trading funds</w:t>
            </w:r>
          </w:p>
        </w:tc>
        <w:tc>
          <w:tcPr>
            <w:tcW w:w="1559" w:type="dxa"/>
          </w:tcPr>
          <w:p w:rsidR="009A3AFE" w:rsidRPr="007A07AD" w:rsidRDefault="009A3AFE" w:rsidP="009A3AFE">
            <w:pPr>
              <w:jc w:val="right"/>
              <w:rPr>
                <w:szCs w:val="24"/>
              </w:rPr>
            </w:pPr>
            <w:r>
              <w:rPr>
                <w:szCs w:val="24"/>
              </w:rPr>
              <w:t>-</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Default="009A3AFE" w:rsidP="009A3AFE">
            <w:pPr>
              <w:jc w:val="right"/>
              <w:rPr>
                <w:szCs w:val="24"/>
              </w:rPr>
            </w:pPr>
            <w:r>
              <w:rPr>
                <w:szCs w:val="24"/>
              </w:rPr>
              <w:t>-</w:t>
            </w:r>
          </w:p>
        </w:tc>
      </w:tr>
      <w:tr w:rsidR="009A3AFE" w:rsidRPr="007A07AD" w:rsidTr="009A3AFE">
        <w:tc>
          <w:tcPr>
            <w:tcW w:w="5058" w:type="dxa"/>
          </w:tcPr>
          <w:p w:rsidR="009A3AFE" w:rsidRDefault="009A3AFE" w:rsidP="009A3AFE">
            <w:pPr>
              <w:rPr>
                <w:szCs w:val="24"/>
              </w:rPr>
            </w:pPr>
            <w:r>
              <w:rPr>
                <w:szCs w:val="24"/>
              </w:rPr>
              <w:t>Other entities and individuals</w:t>
            </w:r>
          </w:p>
        </w:tc>
        <w:tc>
          <w:tcPr>
            <w:tcW w:w="1559" w:type="dxa"/>
          </w:tcPr>
          <w:p w:rsidR="009A3AFE" w:rsidRPr="007A07AD" w:rsidRDefault="009A3AFE" w:rsidP="009A3AFE">
            <w:pPr>
              <w:jc w:val="right"/>
              <w:rPr>
                <w:szCs w:val="24"/>
              </w:rPr>
            </w:pPr>
            <w:r>
              <w:rPr>
                <w:szCs w:val="24"/>
              </w:rPr>
              <w:t>4.4</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left w:val="single" w:sz="4" w:space="0" w:color="FFFFFF" w:themeColor="background1"/>
            </w:tcBorders>
          </w:tcPr>
          <w:p w:rsidR="009A3AFE" w:rsidRDefault="009A3AFE" w:rsidP="009A3AFE">
            <w:pPr>
              <w:jc w:val="right"/>
              <w:rPr>
                <w:szCs w:val="24"/>
              </w:rPr>
            </w:pPr>
            <w:r>
              <w:rPr>
                <w:szCs w:val="24"/>
              </w:rPr>
              <w:t>12.0</w:t>
            </w:r>
          </w:p>
        </w:tc>
      </w:tr>
      <w:tr w:rsidR="009A3AFE" w:rsidRPr="007A07AD" w:rsidTr="009A3AFE">
        <w:tc>
          <w:tcPr>
            <w:tcW w:w="5058" w:type="dxa"/>
          </w:tcPr>
          <w:p w:rsidR="009A3AFE" w:rsidRDefault="009A3AFE" w:rsidP="009A3AFE">
            <w:pPr>
              <w:rPr>
                <w:szCs w:val="24"/>
              </w:rPr>
            </w:pPr>
          </w:p>
        </w:tc>
        <w:tc>
          <w:tcPr>
            <w:tcW w:w="1559" w:type="dxa"/>
            <w:tcBorders>
              <w:top w:val="single" w:sz="18" w:space="0" w:color="auto"/>
              <w:bottom w:val="single" w:sz="18" w:space="0" w:color="auto"/>
            </w:tcBorders>
          </w:tcPr>
          <w:p w:rsidR="009A3AFE" w:rsidRPr="007A07AD" w:rsidRDefault="009A3AFE" w:rsidP="009A3AFE">
            <w:pPr>
              <w:jc w:val="right"/>
              <w:rPr>
                <w:szCs w:val="24"/>
              </w:rPr>
            </w:pPr>
            <w:r>
              <w:rPr>
                <w:szCs w:val="24"/>
              </w:rPr>
              <w:t>3.2</w:t>
            </w:r>
          </w:p>
        </w:tc>
        <w:tc>
          <w:tcPr>
            <w:tcW w:w="430" w:type="dxa"/>
            <w:tcBorders>
              <w:right w:val="single" w:sz="4" w:space="0" w:color="FFFFFF" w:themeColor="background1"/>
            </w:tcBorders>
          </w:tcPr>
          <w:p w:rsidR="009A3AFE" w:rsidRPr="007A07AD" w:rsidRDefault="009A3AFE" w:rsidP="009A3AFE">
            <w:pPr>
              <w:jc w:val="right"/>
              <w:rPr>
                <w:szCs w:val="24"/>
              </w:rPr>
            </w:pPr>
          </w:p>
        </w:tc>
        <w:tc>
          <w:tcPr>
            <w:tcW w:w="1696" w:type="dxa"/>
            <w:tcBorders>
              <w:top w:val="single" w:sz="18" w:space="0" w:color="auto"/>
              <w:left w:val="single" w:sz="4" w:space="0" w:color="FFFFFF" w:themeColor="background1"/>
              <w:bottom w:val="single" w:sz="18" w:space="0" w:color="auto"/>
            </w:tcBorders>
          </w:tcPr>
          <w:p w:rsidR="009A3AFE" w:rsidRDefault="009A3AFE" w:rsidP="009A3AFE">
            <w:pPr>
              <w:jc w:val="right"/>
              <w:rPr>
                <w:szCs w:val="24"/>
              </w:rPr>
            </w:pPr>
            <w:r>
              <w:rPr>
                <w:szCs w:val="24"/>
              </w:rPr>
              <w:t>9.2</w:t>
            </w:r>
          </w:p>
        </w:tc>
      </w:tr>
    </w:tbl>
    <w:p w:rsidR="009A3AFE" w:rsidRDefault="009A3AFE" w:rsidP="009A3AFE">
      <w:pPr>
        <w:rPr>
          <w:rFonts w:cs="Arial"/>
          <w:b/>
          <w:bCs/>
          <w:color w:val="000000"/>
          <w:szCs w:val="24"/>
        </w:rPr>
      </w:pPr>
    </w:p>
    <w:p w:rsidR="009A3AFE" w:rsidRPr="00154DB0" w:rsidRDefault="009A3AFE" w:rsidP="009A3AFE">
      <w:pPr>
        <w:ind w:left="720"/>
        <w:rPr>
          <w:rFonts w:cs="Arial"/>
          <w:b/>
          <w:bCs/>
          <w:color w:val="000000"/>
          <w:szCs w:val="24"/>
        </w:rPr>
      </w:pPr>
    </w:p>
    <w:p w:rsidR="009A3AFE" w:rsidRPr="00166665" w:rsidRDefault="009A3AFE" w:rsidP="009A3AFE">
      <w:pPr>
        <w:numPr>
          <w:ilvl w:val="0"/>
          <w:numId w:val="2"/>
        </w:numPr>
        <w:spacing w:after="240"/>
        <w:rPr>
          <w:b/>
          <w:szCs w:val="24"/>
        </w:rPr>
      </w:pPr>
      <w:r w:rsidRPr="00166665">
        <w:rPr>
          <w:b/>
          <w:szCs w:val="24"/>
        </w:rPr>
        <w:t>Contingent Asset and Liability</w:t>
      </w:r>
    </w:p>
    <w:p w:rsidR="009A3AFE" w:rsidRDefault="009A3AFE" w:rsidP="009A3AFE">
      <w:pPr>
        <w:pStyle w:val="BodyTextIndent"/>
        <w:tabs>
          <w:tab w:val="clear" w:pos="1080"/>
        </w:tabs>
        <w:ind w:left="709"/>
        <w:rPr>
          <w:szCs w:val="24"/>
        </w:rPr>
      </w:pPr>
      <w:r w:rsidRPr="00166665">
        <w:rPr>
          <w:szCs w:val="24"/>
        </w:rPr>
        <w:t>The Pension Fund is a member of two group litigation actions aimed at reclaiming tax credits on overseas dividends and foreign income dividends on the basis that the original denial of a full tax credit was in contravention of EU non-discrimination law.  If successful the estimated potential income to the Pension Fund is in the region of £10m.  The estimated fees payable in respect of the litigations, regardless of the outcome, are approximately £300,000.  This issue is still progressing through the courts.</w:t>
      </w:r>
    </w:p>
    <w:p w:rsidR="009A3AFE" w:rsidRDefault="009A3AFE" w:rsidP="009A3AFE">
      <w:pPr>
        <w:pStyle w:val="BodyTextIndent"/>
        <w:rPr>
          <w:szCs w:val="24"/>
        </w:rPr>
      </w:pPr>
    </w:p>
    <w:p w:rsidR="009A3AFE" w:rsidRPr="00166665" w:rsidRDefault="009A3AFE" w:rsidP="009A3AFE">
      <w:pPr>
        <w:pStyle w:val="BodyTextIndent"/>
        <w:numPr>
          <w:ilvl w:val="0"/>
          <w:numId w:val="2"/>
        </w:numPr>
        <w:tabs>
          <w:tab w:val="clear" w:pos="1080"/>
        </w:tabs>
        <w:spacing w:after="240"/>
        <w:rPr>
          <w:szCs w:val="24"/>
        </w:rPr>
      </w:pPr>
      <w:r w:rsidRPr="00166665">
        <w:rPr>
          <w:b/>
          <w:szCs w:val="24"/>
        </w:rPr>
        <w:t>Contractual Commitments</w:t>
      </w:r>
    </w:p>
    <w:p w:rsidR="009A3AFE" w:rsidRDefault="009A3AFE" w:rsidP="009A3AFE">
      <w:pPr>
        <w:pStyle w:val="BodyTextIndent"/>
        <w:tabs>
          <w:tab w:val="clear" w:pos="1080"/>
          <w:tab w:val="left" w:pos="709"/>
        </w:tabs>
        <w:ind w:left="709"/>
        <w:rPr>
          <w:szCs w:val="24"/>
        </w:rPr>
      </w:pPr>
      <w:r w:rsidRPr="00DF7F83">
        <w:rPr>
          <w:szCs w:val="24"/>
        </w:rPr>
        <w:t>The Pension Fund holds investments in various Private Equity partnerships, the value of these investments at 31 March 201</w:t>
      </w:r>
      <w:r>
        <w:rPr>
          <w:szCs w:val="24"/>
        </w:rPr>
        <w:t>2</w:t>
      </w:r>
      <w:r w:rsidRPr="00DF7F83">
        <w:rPr>
          <w:szCs w:val="24"/>
        </w:rPr>
        <w:t xml:space="preserve"> being </w:t>
      </w:r>
      <w:r w:rsidRPr="008514F5">
        <w:rPr>
          <w:szCs w:val="24"/>
        </w:rPr>
        <w:t>£287.5m</w:t>
      </w:r>
      <w:r w:rsidRPr="00DF7F83">
        <w:rPr>
          <w:szCs w:val="24"/>
        </w:rPr>
        <w:t xml:space="preserve">.  Commitments to these partnerships are drawn down over a number of years.  The term of an individual investment can be up to 10 years.  Realisation of these investments in the form of distributions normally occurs towards the end of the investment period, when portfolio companies have built value and can be liquidated.  </w:t>
      </w:r>
      <w:r w:rsidRPr="009A36EC">
        <w:rPr>
          <w:szCs w:val="24"/>
        </w:rPr>
        <w:t>The outstanding commitments at 31 March 2012 are £231.7m.</w:t>
      </w:r>
    </w:p>
    <w:p w:rsidR="009A3AFE" w:rsidRDefault="009A3AFE" w:rsidP="009A3AFE">
      <w:pPr>
        <w:pStyle w:val="BodyTextIndent"/>
        <w:tabs>
          <w:tab w:val="clear" w:pos="1080"/>
          <w:tab w:val="left" w:pos="709"/>
        </w:tabs>
        <w:ind w:left="0"/>
        <w:rPr>
          <w:szCs w:val="24"/>
        </w:rPr>
      </w:pPr>
    </w:p>
    <w:p w:rsidR="009A3AFE" w:rsidRPr="00166665" w:rsidRDefault="009A3AFE" w:rsidP="009A3AFE">
      <w:pPr>
        <w:numPr>
          <w:ilvl w:val="0"/>
          <w:numId w:val="2"/>
        </w:numPr>
        <w:spacing w:after="240"/>
        <w:rPr>
          <w:szCs w:val="24"/>
        </w:rPr>
      </w:pPr>
      <w:r w:rsidRPr="00166665">
        <w:rPr>
          <w:b/>
          <w:szCs w:val="24"/>
        </w:rPr>
        <w:t>Related Party Transactions</w:t>
      </w:r>
    </w:p>
    <w:p w:rsidR="009A3AFE" w:rsidRPr="00166665" w:rsidRDefault="009A3AFE" w:rsidP="009A3AFE">
      <w:pPr>
        <w:pStyle w:val="BodyTextIndent"/>
        <w:tabs>
          <w:tab w:val="clear" w:pos="1080"/>
          <w:tab w:val="left" w:pos="709"/>
        </w:tabs>
        <w:ind w:left="709"/>
        <w:rPr>
          <w:szCs w:val="24"/>
        </w:rPr>
      </w:pPr>
      <w:r w:rsidRPr="00166665">
        <w:rPr>
          <w:szCs w:val="24"/>
        </w:rPr>
        <w:t xml:space="preserve">In accordance with </w:t>
      </w:r>
      <w:r>
        <w:rPr>
          <w:szCs w:val="24"/>
        </w:rPr>
        <w:t>IFRS</w:t>
      </w:r>
      <w:r w:rsidRPr="00166665">
        <w:rPr>
          <w:szCs w:val="24"/>
        </w:rPr>
        <w:t>, the financial statements must contain the disclosures necessary to draw attention to the possibility that the reported financial position of the Pension Fund may have been affected by the existence of related parties and associated material transactions.  They include:</w:t>
      </w:r>
    </w:p>
    <w:p w:rsidR="009A3AFE" w:rsidRPr="00D261C5" w:rsidRDefault="009A3AFE" w:rsidP="009A3AFE">
      <w:pPr>
        <w:pStyle w:val="BodyTextIndent"/>
        <w:numPr>
          <w:ilvl w:val="0"/>
          <w:numId w:val="5"/>
        </w:numPr>
        <w:tabs>
          <w:tab w:val="clear" w:pos="360"/>
          <w:tab w:val="num" w:pos="1080"/>
        </w:tabs>
        <w:spacing w:after="240"/>
        <w:ind w:left="1080"/>
        <w:rPr>
          <w:szCs w:val="24"/>
        </w:rPr>
      </w:pPr>
      <w:r w:rsidRPr="00D261C5">
        <w:rPr>
          <w:szCs w:val="24"/>
        </w:rPr>
        <w:t>At 31 March 201</w:t>
      </w:r>
      <w:r>
        <w:rPr>
          <w:szCs w:val="24"/>
        </w:rPr>
        <w:t>2</w:t>
      </w:r>
      <w:r w:rsidRPr="00D261C5">
        <w:rPr>
          <w:szCs w:val="24"/>
        </w:rPr>
        <w:t xml:space="preserve">, </w:t>
      </w:r>
      <w:r>
        <w:rPr>
          <w:szCs w:val="24"/>
        </w:rPr>
        <w:t>Gil</w:t>
      </w:r>
      <w:r w:rsidRPr="00D261C5">
        <w:rPr>
          <w:szCs w:val="24"/>
        </w:rPr>
        <w:t>l</w:t>
      </w:r>
      <w:r>
        <w:rPr>
          <w:szCs w:val="24"/>
        </w:rPr>
        <w:t xml:space="preserve"> Kilpatrick</w:t>
      </w:r>
      <w:r w:rsidRPr="00D261C5">
        <w:rPr>
          <w:szCs w:val="24"/>
        </w:rPr>
        <w:t xml:space="preserve">, CPFA, was Treasurer to the Pension Fund and </w:t>
      </w:r>
      <w:r>
        <w:rPr>
          <w:szCs w:val="24"/>
        </w:rPr>
        <w:t>County Treasurer</w:t>
      </w:r>
      <w:r w:rsidRPr="00D261C5">
        <w:rPr>
          <w:szCs w:val="24"/>
        </w:rPr>
        <w:t xml:space="preserve"> for Lancashire County Council.</w:t>
      </w:r>
    </w:p>
    <w:p w:rsidR="009A3AFE" w:rsidRPr="008B7505" w:rsidRDefault="009A3AFE" w:rsidP="009A3AFE">
      <w:pPr>
        <w:pStyle w:val="BodyTextIndent"/>
        <w:numPr>
          <w:ilvl w:val="0"/>
          <w:numId w:val="5"/>
        </w:numPr>
        <w:tabs>
          <w:tab w:val="clear" w:pos="360"/>
          <w:tab w:val="num" w:pos="1080"/>
        </w:tabs>
        <w:spacing w:after="240"/>
        <w:ind w:left="1080"/>
        <w:rPr>
          <w:szCs w:val="24"/>
        </w:rPr>
      </w:pPr>
      <w:r w:rsidRPr="008B7505">
        <w:rPr>
          <w:szCs w:val="24"/>
        </w:rPr>
        <w:t xml:space="preserve">The Pension Fund includes </w:t>
      </w:r>
      <w:r>
        <w:rPr>
          <w:szCs w:val="24"/>
        </w:rPr>
        <w:t>66</w:t>
      </w:r>
      <w:r w:rsidRPr="008B7505">
        <w:rPr>
          <w:szCs w:val="24"/>
        </w:rPr>
        <w:t xml:space="preserve"> scheduled and 1</w:t>
      </w:r>
      <w:r>
        <w:rPr>
          <w:szCs w:val="24"/>
        </w:rPr>
        <w:t>54</w:t>
      </w:r>
      <w:r w:rsidRPr="008B7505">
        <w:rPr>
          <w:szCs w:val="24"/>
        </w:rPr>
        <w:t xml:space="preserve"> admitted bodies.  A list of the individual bodies within the scheme is found at note 1 to these accounts.</w:t>
      </w:r>
    </w:p>
    <w:p w:rsidR="009A3AFE" w:rsidRDefault="009A3AFE" w:rsidP="009A3AFE">
      <w:pPr>
        <w:pStyle w:val="BodyTextIndent"/>
        <w:numPr>
          <w:ilvl w:val="0"/>
          <w:numId w:val="5"/>
        </w:numPr>
        <w:tabs>
          <w:tab w:val="clear" w:pos="360"/>
          <w:tab w:val="num" w:pos="1080"/>
        </w:tabs>
        <w:spacing w:after="240"/>
        <w:ind w:left="1080"/>
        <w:rPr>
          <w:szCs w:val="24"/>
        </w:rPr>
      </w:pPr>
      <w:r w:rsidRPr="00D261C5">
        <w:rPr>
          <w:szCs w:val="24"/>
        </w:rPr>
        <w:t>The Pension Fund Committee comprises 1</w:t>
      </w:r>
      <w:r>
        <w:rPr>
          <w:szCs w:val="24"/>
        </w:rPr>
        <w:t>4</w:t>
      </w:r>
      <w:r w:rsidRPr="00D261C5">
        <w:rPr>
          <w:szCs w:val="24"/>
        </w:rPr>
        <w:t xml:space="preserve"> County Councillors, </w:t>
      </w:r>
      <w:r>
        <w:rPr>
          <w:szCs w:val="24"/>
        </w:rPr>
        <w:t>2</w:t>
      </w:r>
      <w:r w:rsidRPr="00D261C5">
        <w:rPr>
          <w:szCs w:val="24"/>
        </w:rPr>
        <w:t xml:space="preserve"> Councillor</w:t>
      </w:r>
      <w:r>
        <w:rPr>
          <w:szCs w:val="24"/>
        </w:rPr>
        <w:t>s</w:t>
      </w:r>
      <w:r w:rsidRPr="00D261C5">
        <w:rPr>
          <w:szCs w:val="24"/>
        </w:rPr>
        <w:t xml:space="preserve"> from Unitary Authorities, </w:t>
      </w:r>
      <w:r>
        <w:rPr>
          <w:szCs w:val="24"/>
        </w:rPr>
        <w:t xml:space="preserve">2 </w:t>
      </w:r>
      <w:r w:rsidRPr="00D261C5">
        <w:rPr>
          <w:szCs w:val="24"/>
        </w:rPr>
        <w:t>Councillor</w:t>
      </w:r>
      <w:r>
        <w:rPr>
          <w:szCs w:val="24"/>
        </w:rPr>
        <w:t>s</w:t>
      </w:r>
      <w:r w:rsidRPr="00D261C5">
        <w:rPr>
          <w:szCs w:val="24"/>
        </w:rPr>
        <w:t xml:space="preserve"> from the Lancashire Leaders Group, 2 Trade Union representatives, 1 representative from the Higher/Further education establishments and the Investment Advisory Panel.</w:t>
      </w:r>
    </w:p>
    <w:p w:rsidR="009A3AFE" w:rsidRDefault="009A3AFE" w:rsidP="009A3AFE">
      <w:pPr>
        <w:pStyle w:val="BodyTextIndent"/>
        <w:tabs>
          <w:tab w:val="clear" w:pos="1080"/>
        </w:tabs>
        <w:spacing w:after="240"/>
        <w:ind w:left="720"/>
        <w:rPr>
          <w:szCs w:val="24"/>
        </w:rPr>
      </w:pPr>
      <w:r>
        <w:rPr>
          <w:szCs w:val="24"/>
        </w:rPr>
        <w:lastRenderedPageBreak/>
        <w:t>The Pension Fund Committee members and senior officers of the Pension Fund were asked to complete a related party declaration for 2011/12. This revealed no material transactions between the Council and the members / officers and their families affecting involvement with the Pension Fund.  Each member of the Pension Fund Committee formally considers conflicts of interest at each meeting.</w:t>
      </w:r>
    </w:p>
    <w:p w:rsidR="00A25616" w:rsidRDefault="00A25616" w:rsidP="00A25616">
      <w:pPr>
        <w:ind w:left="709"/>
      </w:pPr>
      <w:r>
        <w:t>The Lancashire Pension Fund is administered by Lancashire County Council. Consequently there is a strong relationship between the council and the pension fund.</w:t>
      </w:r>
    </w:p>
    <w:p w:rsidR="00A25616" w:rsidRDefault="00A25616" w:rsidP="00A25616">
      <w:pPr>
        <w:ind w:left="709"/>
      </w:pPr>
    </w:p>
    <w:p w:rsidR="00A25616" w:rsidRDefault="00A25616" w:rsidP="00A25616">
      <w:pPr>
        <w:ind w:left="709"/>
      </w:pPr>
      <w:r>
        <w:t>The council incurred costs of £2.9 million (2010/11: £2.9 million) in relation to the administration of the fund and was subsequently reimbursed by the fund for these expenses. The council is also the single largest employer of the members of the pension fund and contributed £68.5 million to the fund in 2011/12 (2010/11:£70.9m million). All monies owing to and due from the fund were paid in year.</w:t>
      </w:r>
    </w:p>
    <w:p w:rsidR="00A25616" w:rsidRDefault="00A25616" w:rsidP="00A25616">
      <w:pPr>
        <w:ind w:left="567"/>
      </w:pPr>
    </w:p>
    <w:p w:rsidR="00A25616" w:rsidRDefault="00A25616" w:rsidP="00A25616">
      <w:pPr>
        <w:pStyle w:val="BodyTextIndent"/>
        <w:tabs>
          <w:tab w:val="clear" w:pos="1080"/>
        </w:tabs>
        <w:spacing w:after="240"/>
        <w:ind w:left="720"/>
        <w:rPr>
          <w:szCs w:val="24"/>
        </w:rPr>
      </w:pPr>
      <w:r>
        <w:t>Part of the pension fund cash holdings are invested on the money markets by the treasury management operations of Lancashire Council County. During the year to 31 March 2012, the fund had an average investment balance of £136.8 million.</w:t>
      </w:r>
    </w:p>
    <w:p w:rsidR="00F332F8" w:rsidRDefault="00F332F8" w:rsidP="009A3AFE">
      <w:pPr>
        <w:pStyle w:val="BodyTextIndent"/>
        <w:tabs>
          <w:tab w:val="clear" w:pos="1080"/>
        </w:tabs>
        <w:spacing w:after="240"/>
        <w:ind w:left="720"/>
        <w:rPr>
          <w:szCs w:val="24"/>
        </w:rPr>
      </w:pPr>
    </w:p>
    <w:p w:rsidR="009A3AFE" w:rsidRPr="00166665" w:rsidRDefault="009A3AFE" w:rsidP="009A3AFE">
      <w:pPr>
        <w:numPr>
          <w:ilvl w:val="0"/>
          <w:numId w:val="2"/>
        </w:numPr>
        <w:tabs>
          <w:tab w:val="clear" w:pos="720"/>
          <w:tab w:val="num" w:pos="567"/>
        </w:tabs>
        <w:spacing w:after="240"/>
        <w:rPr>
          <w:b/>
          <w:szCs w:val="24"/>
        </w:rPr>
      </w:pPr>
      <w:r w:rsidRPr="00166665">
        <w:rPr>
          <w:b/>
          <w:szCs w:val="24"/>
        </w:rPr>
        <w:t>Impairment of Icelandic Investment</w:t>
      </w:r>
    </w:p>
    <w:p w:rsidR="009A3AFE" w:rsidRDefault="009A3AFE" w:rsidP="009A3AFE">
      <w:pPr>
        <w:widowControl w:val="0"/>
        <w:suppressAutoHyphens/>
        <w:ind w:left="567"/>
      </w:pPr>
      <w:r>
        <w:rPr>
          <w:szCs w:val="22"/>
        </w:rPr>
        <w:t>Lancashire County Pension Fund had £2.4m on deposit with the Icelandic Bank Landsbanki when it collapsed in October 2008.  The Pension Fund was one of many UK and Dutch organisations with such deposits, all of whom were granted priority creditor status by the Icelandic Supreme Court at a hearing in Reykjavik on 14</w:t>
      </w:r>
      <w:r w:rsidRPr="00815C08">
        <w:rPr>
          <w:szCs w:val="22"/>
          <w:vertAlign w:val="superscript"/>
        </w:rPr>
        <w:t>th</w:t>
      </w:r>
      <w:r>
        <w:rPr>
          <w:szCs w:val="22"/>
        </w:rPr>
        <w:t xml:space="preserve"> and 15</w:t>
      </w:r>
      <w:r w:rsidRPr="00815C08">
        <w:rPr>
          <w:szCs w:val="22"/>
          <w:vertAlign w:val="superscript"/>
        </w:rPr>
        <w:t>th</w:t>
      </w:r>
      <w:r>
        <w:rPr>
          <w:szCs w:val="22"/>
        </w:rPr>
        <w:t xml:space="preserve"> of September 2011.  </w:t>
      </w:r>
      <w:r w:rsidRPr="00815C08">
        <w:t>The Winding Up Board announced on 9 March 2012</w:t>
      </w:r>
      <w:r>
        <w:t xml:space="preserve"> </w:t>
      </w:r>
      <w:r w:rsidRPr="00815C08">
        <w:t>that it anticipated recoveries in the Landsbanki Administration would exceed the book value of recognised priority claims by around ISK 121bn</w:t>
      </w:r>
      <w:r>
        <w:t>.</w:t>
      </w:r>
      <w:r w:rsidRPr="00815C08">
        <w:t xml:space="preserve"> Estimated recoveries are some 9% higher than the value of priority claims</w:t>
      </w:r>
      <w:r>
        <w:t>,</w:t>
      </w:r>
      <w:r w:rsidRPr="00815C08">
        <w:t xml:space="preserve"> and it is therefore now considered likely that </w:t>
      </w:r>
      <w:r>
        <w:t>the Pension Fund</w:t>
      </w:r>
      <w:r w:rsidRPr="00815C08">
        <w:t xml:space="preserve"> will recover 100% of their deposits, subject to potential future exchange rate fluctuations.</w:t>
      </w:r>
    </w:p>
    <w:p w:rsidR="009A3AFE" w:rsidRDefault="009A3AFE" w:rsidP="009A3AFE">
      <w:pPr>
        <w:widowControl w:val="0"/>
        <w:suppressAutoHyphens/>
        <w:ind w:left="567"/>
      </w:pPr>
      <w:r>
        <w:t>The winding up board made its first distribution on 7</w:t>
      </w:r>
      <w:r w:rsidRPr="006B44AD">
        <w:rPr>
          <w:vertAlign w:val="superscript"/>
        </w:rPr>
        <w:t>th</w:t>
      </w:r>
      <w:r>
        <w:t xml:space="preserve"> December 2011and a second distribution on 25</w:t>
      </w:r>
      <w:r w:rsidRPr="00C21314">
        <w:rPr>
          <w:vertAlign w:val="superscript"/>
        </w:rPr>
        <w:t>th</w:t>
      </w:r>
      <w:r>
        <w:t xml:space="preserve"> May 2012. Approximately 42% of the total claim has now been repaid. </w:t>
      </w:r>
    </w:p>
    <w:p w:rsidR="009A3AFE" w:rsidRDefault="009A3AFE" w:rsidP="009A3AFE">
      <w:pPr>
        <w:widowControl w:val="0"/>
        <w:suppressAutoHyphens/>
        <w:ind w:left="567"/>
      </w:pPr>
    </w:p>
    <w:p w:rsidR="009A3AFE" w:rsidRDefault="009A3AFE" w:rsidP="009A3AFE">
      <w:pPr>
        <w:widowControl w:val="0"/>
        <w:suppressAutoHyphens/>
        <w:ind w:left="567"/>
      </w:pPr>
      <w:r>
        <w:t>The table below shows the combined amount of the distributions and the amount outstanding.</w:t>
      </w:r>
    </w:p>
    <w:tbl>
      <w:tblPr>
        <w:tblW w:w="6961" w:type="dxa"/>
        <w:tblInd w:w="93" w:type="dxa"/>
        <w:tblLook w:val="04A0"/>
      </w:tblPr>
      <w:tblGrid>
        <w:gridCol w:w="4693"/>
        <w:gridCol w:w="2268"/>
      </w:tblGrid>
      <w:tr w:rsidR="009A3AFE" w:rsidRPr="006B44AD" w:rsidTr="00F265E6">
        <w:trPr>
          <w:trHeight w:val="163"/>
        </w:trPr>
        <w:tc>
          <w:tcPr>
            <w:tcW w:w="4693" w:type="dxa"/>
            <w:tcBorders>
              <w:top w:val="nil"/>
              <w:left w:val="nil"/>
              <w:bottom w:val="nil"/>
              <w:right w:val="nil"/>
            </w:tcBorders>
            <w:shd w:val="clear" w:color="auto" w:fill="auto"/>
            <w:noWrap/>
            <w:vAlign w:val="bottom"/>
            <w:hideMark/>
          </w:tcPr>
          <w:p w:rsidR="009A3AFE" w:rsidRPr="006B44AD" w:rsidRDefault="009A3AFE" w:rsidP="009A3AFE">
            <w:pPr>
              <w:ind w:left="567"/>
            </w:pPr>
          </w:p>
        </w:tc>
        <w:tc>
          <w:tcPr>
            <w:tcW w:w="2268" w:type="dxa"/>
            <w:tcBorders>
              <w:top w:val="nil"/>
              <w:left w:val="nil"/>
              <w:bottom w:val="nil"/>
              <w:right w:val="nil"/>
            </w:tcBorders>
            <w:shd w:val="clear" w:color="auto" w:fill="auto"/>
            <w:noWrap/>
            <w:vAlign w:val="bottom"/>
            <w:hideMark/>
          </w:tcPr>
          <w:p w:rsidR="009A3AFE" w:rsidRPr="006B44AD" w:rsidRDefault="009A3AFE" w:rsidP="009A3AFE">
            <w:pPr>
              <w:ind w:left="567"/>
              <w:jc w:val="center"/>
            </w:pPr>
          </w:p>
        </w:tc>
      </w:tr>
      <w:tr w:rsidR="009A3AFE" w:rsidRPr="006B44AD" w:rsidTr="009A3AFE">
        <w:trPr>
          <w:trHeight w:val="300"/>
        </w:trPr>
        <w:tc>
          <w:tcPr>
            <w:tcW w:w="4693" w:type="dxa"/>
            <w:tcBorders>
              <w:top w:val="nil"/>
              <w:left w:val="nil"/>
              <w:bottom w:val="nil"/>
              <w:right w:val="nil"/>
            </w:tcBorders>
            <w:shd w:val="clear" w:color="auto" w:fill="auto"/>
            <w:noWrap/>
            <w:vAlign w:val="bottom"/>
            <w:hideMark/>
          </w:tcPr>
          <w:p w:rsidR="009A3AFE" w:rsidRPr="006B44AD" w:rsidRDefault="009A3AFE" w:rsidP="009A3AFE">
            <w:pPr>
              <w:ind w:left="567"/>
            </w:pPr>
          </w:p>
        </w:tc>
        <w:tc>
          <w:tcPr>
            <w:tcW w:w="2268" w:type="dxa"/>
            <w:tcBorders>
              <w:top w:val="nil"/>
              <w:left w:val="nil"/>
              <w:bottom w:val="nil"/>
              <w:right w:val="nil"/>
            </w:tcBorders>
            <w:shd w:val="clear" w:color="auto" w:fill="auto"/>
            <w:noWrap/>
            <w:vAlign w:val="bottom"/>
            <w:hideMark/>
          </w:tcPr>
          <w:p w:rsidR="009A3AFE" w:rsidRPr="006B44AD" w:rsidRDefault="009A3AFE" w:rsidP="009A3AFE">
            <w:pPr>
              <w:ind w:left="567"/>
              <w:jc w:val="center"/>
            </w:pPr>
            <w:r w:rsidRPr="006B44AD">
              <w:t>£</w:t>
            </w:r>
          </w:p>
        </w:tc>
      </w:tr>
      <w:tr w:rsidR="00F265E6" w:rsidRPr="006B44AD" w:rsidTr="009A3AFE">
        <w:trPr>
          <w:trHeight w:val="300"/>
        </w:trPr>
        <w:tc>
          <w:tcPr>
            <w:tcW w:w="4693" w:type="dxa"/>
            <w:tcBorders>
              <w:top w:val="nil"/>
              <w:left w:val="nil"/>
              <w:bottom w:val="nil"/>
              <w:right w:val="nil"/>
            </w:tcBorders>
            <w:shd w:val="clear" w:color="auto" w:fill="auto"/>
            <w:noWrap/>
            <w:vAlign w:val="bottom"/>
            <w:hideMark/>
          </w:tcPr>
          <w:p w:rsidR="00F265E6" w:rsidRPr="00B83631" w:rsidRDefault="00F265E6" w:rsidP="00BD2A79">
            <w:pPr>
              <w:ind w:left="567"/>
              <w:rPr>
                <w:b/>
              </w:rPr>
            </w:pPr>
            <w:r w:rsidRPr="00B83631">
              <w:rPr>
                <w:b/>
              </w:rPr>
              <w:t>Claim</w:t>
            </w:r>
          </w:p>
        </w:tc>
        <w:tc>
          <w:tcPr>
            <w:tcW w:w="2268" w:type="dxa"/>
            <w:tcBorders>
              <w:top w:val="nil"/>
              <w:left w:val="nil"/>
              <w:bottom w:val="nil"/>
              <w:right w:val="nil"/>
            </w:tcBorders>
            <w:shd w:val="clear" w:color="auto" w:fill="auto"/>
            <w:noWrap/>
            <w:vAlign w:val="bottom"/>
            <w:hideMark/>
          </w:tcPr>
          <w:p w:rsidR="00F265E6" w:rsidRPr="006B44AD" w:rsidRDefault="00F265E6" w:rsidP="00BD2A79">
            <w:pPr>
              <w:ind w:left="567"/>
            </w:pPr>
          </w:p>
        </w:tc>
      </w:tr>
      <w:tr w:rsidR="00F265E6" w:rsidRPr="006B44AD" w:rsidTr="009A3AFE">
        <w:trPr>
          <w:trHeight w:val="300"/>
        </w:trPr>
        <w:tc>
          <w:tcPr>
            <w:tcW w:w="4693" w:type="dxa"/>
            <w:tcBorders>
              <w:top w:val="nil"/>
              <w:left w:val="nil"/>
              <w:bottom w:val="nil"/>
              <w:right w:val="nil"/>
            </w:tcBorders>
            <w:shd w:val="clear" w:color="auto" w:fill="auto"/>
            <w:noWrap/>
            <w:vAlign w:val="bottom"/>
            <w:hideMark/>
          </w:tcPr>
          <w:p w:rsidR="00F265E6" w:rsidRPr="006B44AD" w:rsidRDefault="00F265E6" w:rsidP="00BD2A79">
            <w:pPr>
              <w:ind w:left="567"/>
            </w:pPr>
            <w:r w:rsidRPr="006B44AD">
              <w:t>Principal</w:t>
            </w:r>
          </w:p>
        </w:tc>
        <w:tc>
          <w:tcPr>
            <w:tcW w:w="2268" w:type="dxa"/>
            <w:tcBorders>
              <w:top w:val="nil"/>
              <w:left w:val="nil"/>
              <w:bottom w:val="nil"/>
              <w:right w:val="nil"/>
            </w:tcBorders>
            <w:shd w:val="clear" w:color="auto" w:fill="auto"/>
            <w:noWrap/>
            <w:vAlign w:val="bottom"/>
            <w:hideMark/>
          </w:tcPr>
          <w:p w:rsidR="00F265E6" w:rsidRPr="006B44AD" w:rsidRDefault="00F265E6" w:rsidP="00BD2A79">
            <w:pPr>
              <w:ind w:left="567"/>
              <w:jc w:val="right"/>
            </w:pPr>
            <w:r>
              <w:t>2,486,996.66</w:t>
            </w:r>
          </w:p>
        </w:tc>
      </w:tr>
      <w:tr w:rsidR="00F265E6" w:rsidRPr="006B44AD" w:rsidTr="009A3AFE">
        <w:trPr>
          <w:trHeight w:val="300"/>
        </w:trPr>
        <w:tc>
          <w:tcPr>
            <w:tcW w:w="4693" w:type="dxa"/>
            <w:tcBorders>
              <w:top w:val="nil"/>
              <w:left w:val="nil"/>
              <w:bottom w:val="nil"/>
              <w:right w:val="nil"/>
            </w:tcBorders>
            <w:shd w:val="clear" w:color="auto" w:fill="auto"/>
            <w:noWrap/>
            <w:vAlign w:val="bottom"/>
            <w:hideMark/>
          </w:tcPr>
          <w:p w:rsidR="00F265E6" w:rsidRPr="006B44AD" w:rsidRDefault="00F265E6" w:rsidP="00BD2A79">
            <w:pPr>
              <w:ind w:left="567"/>
            </w:pPr>
            <w:r w:rsidRPr="006B44AD">
              <w:t>Interest</w:t>
            </w:r>
          </w:p>
        </w:tc>
        <w:tc>
          <w:tcPr>
            <w:tcW w:w="2268" w:type="dxa"/>
            <w:tcBorders>
              <w:top w:val="nil"/>
              <w:left w:val="nil"/>
              <w:bottom w:val="nil"/>
              <w:right w:val="nil"/>
            </w:tcBorders>
            <w:shd w:val="clear" w:color="auto" w:fill="auto"/>
            <w:noWrap/>
            <w:vAlign w:val="bottom"/>
            <w:hideMark/>
          </w:tcPr>
          <w:p w:rsidR="00F265E6" w:rsidRPr="006B44AD" w:rsidRDefault="00F265E6" w:rsidP="00BD2A79">
            <w:pPr>
              <w:ind w:left="567"/>
              <w:jc w:val="right"/>
            </w:pPr>
            <w:r>
              <w:t>36,086.66</w:t>
            </w:r>
          </w:p>
        </w:tc>
      </w:tr>
      <w:tr w:rsidR="00F265E6" w:rsidRPr="006B44AD" w:rsidTr="009A3AFE">
        <w:trPr>
          <w:trHeight w:val="300"/>
        </w:trPr>
        <w:tc>
          <w:tcPr>
            <w:tcW w:w="4693" w:type="dxa"/>
            <w:tcBorders>
              <w:top w:val="nil"/>
              <w:left w:val="nil"/>
              <w:bottom w:val="nil"/>
              <w:right w:val="nil"/>
            </w:tcBorders>
            <w:shd w:val="clear" w:color="auto" w:fill="auto"/>
            <w:noWrap/>
            <w:vAlign w:val="bottom"/>
            <w:hideMark/>
          </w:tcPr>
          <w:p w:rsidR="00F265E6" w:rsidRPr="006B44AD" w:rsidRDefault="00F265E6" w:rsidP="00BD2A79">
            <w:pPr>
              <w:ind w:left="567"/>
            </w:pPr>
            <w:r>
              <w:t>Total Claim</w:t>
            </w:r>
          </w:p>
        </w:tc>
        <w:tc>
          <w:tcPr>
            <w:tcW w:w="2268" w:type="dxa"/>
            <w:tcBorders>
              <w:top w:val="nil"/>
              <w:left w:val="nil"/>
              <w:bottom w:val="nil"/>
              <w:right w:val="nil"/>
            </w:tcBorders>
            <w:shd w:val="clear" w:color="auto" w:fill="auto"/>
            <w:noWrap/>
            <w:vAlign w:val="bottom"/>
            <w:hideMark/>
          </w:tcPr>
          <w:p w:rsidR="00F265E6" w:rsidRPr="006B44AD" w:rsidRDefault="00F265E6" w:rsidP="00BD2A79">
            <w:pPr>
              <w:ind w:left="567"/>
              <w:jc w:val="right"/>
            </w:pPr>
            <w:r>
              <w:t>2,523,083.32</w:t>
            </w:r>
          </w:p>
        </w:tc>
      </w:tr>
      <w:tr w:rsidR="00F265E6" w:rsidRPr="006B44AD" w:rsidTr="009A3AFE">
        <w:trPr>
          <w:trHeight w:val="300"/>
        </w:trPr>
        <w:tc>
          <w:tcPr>
            <w:tcW w:w="4693" w:type="dxa"/>
            <w:tcBorders>
              <w:top w:val="nil"/>
              <w:left w:val="nil"/>
              <w:bottom w:val="nil"/>
              <w:right w:val="nil"/>
            </w:tcBorders>
            <w:shd w:val="clear" w:color="auto" w:fill="auto"/>
            <w:noWrap/>
            <w:vAlign w:val="bottom"/>
            <w:hideMark/>
          </w:tcPr>
          <w:p w:rsidR="00F265E6" w:rsidRPr="006B44AD" w:rsidRDefault="00F265E6" w:rsidP="00BD2A79">
            <w:pPr>
              <w:ind w:left="567"/>
            </w:pPr>
          </w:p>
        </w:tc>
        <w:tc>
          <w:tcPr>
            <w:tcW w:w="2268" w:type="dxa"/>
            <w:tcBorders>
              <w:top w:val="nil"/>
              <w:left w:val="nil"/>
              <w:bottom w:val="nil"/>
              <w:right w:val="nil"/>
            </w:tcBorders>
            <w:shd w:val="clear" w:color="auto" w:fill="auto"/>
            <w:noWrap/>
            <w:vAlign w:val="bottom"/>
            <w:hideMark/>
          </w:tcPr>
          <w:p w:rsidR="00F265E6" w:rsidRPr="006B44AD" w:rsidRDefault="00F265E6" w:rsidP="00BD2A79">
            <w:pPr>
              <w:ind w:left="567"/>
              <w:jc w:val="right"/>
            </w:pPr>
          </w:p>
        </w:tc>
      </w:tr>
      <w:tr w:rsidR="00F265E6" w:rsidRPr="006B44AD" w:rsidTr="009A3AFE">
        <w:trPr>
          <w:trHeight w:val="300"/>
        </w:trPr>
        <w:tc>
          <w:tcPr>
            <w:tcW w:w="4693" w:type="dxa"/>
            <w:tcBorders>
              <w:top w:val="nil"/>
              <w:left w:val="nil"/>
              <w:bottom w:val="nil"/>
              <w:right w:val="nil"/>
            </w:tcBorders>
            <w:shd w:val="clear" w:color="auto" w:fill="auto"/>
            <w:noWrap/>
            <w:vAlign w:val="bottom"/>
            <w:hideMark/>
          </w:tcPr>
          <w:p w:rsidR="00F265E6" w:rsidRPr="006B44AD" w:rsidRDefault="00F265E6" w:rsidP="00D15F4B">
            <w:pPr>
              <w:ind w:left="567"/>
            </w:pPr>
            <w:r>
              <w:t xml:space="preserve">Distributions received to </w:t>
            </w:r>
            <w:r w:rsidR="00D15F4B">
              <w:t>d</w:t>
            </w:r>
            <w:r>
              <w:t>ate:</w:t>
            </w:r>
            <w:r w:rsidRPr="006B44AD">
              <w:t xml:space="preserve"> </w:t>
            </w:r>
          </w:p>
        </w:tc>
        <w:tc>
          <w:tcPr>
            <w:tcW w:w="2268" w:type="dxa"/>
            <w:tcBorders>
              <w:top w:val="nil"/>
              <w:left w:val="nil"/>
              <w:bottom w:val="nil"/>
              <w:right w:val="nil"/>
            </w:tcBorders>
            <w:shd w:val="clear" w:color="auto" w:fill="auto"/>
            <w:noWrap/>
            <w:vAlign w:val="bottom"/>
            <w:hideMark/>
          </w:tcPr>
          <w:p w:rsidR="00F265E6" w:rsidRPr="006B44AD" w:rsidRDefault="00F265E6" w:rsidP="00BD2A79">
            <w:pPr>
              <w:ind w:left="567"/>
              <w:jc w:val="right"/>
            </w:pPr>
          </w:p>
        </w:tc>
      </w:tr>
      <w:tr w:rsidR="00F265E6" w:rsidRPr="006B44AD" w:rsidTr="009A3AFE">
        <w:trPr>
          <w:trHeight w:val="300"/>
        </w:trPr>
        <w:tc>
          <w:tcPr>
            <w:tcW w:w="4693" w:type="dxa"/>
            <w:tcBorders>
              <w:top w:val="nil"/>
              <w:left w:val="nil"/>
              <w:bottom w:val="nil"/>
              <w:right w:val="nil"/>
            </w:tcBorders>
            <w:shd w:val="clear" w:color="auto" w:fill="auto"/>
            <w:noWrap/>
            <w:vAlign w:val="bottom"/>
            <w:hideMark/>
          </w:tcPr>
          <w:p w:rsidR="00F265E6" w:rsidRPr="006B44AD" w:rsidRDefault="00F265E6" w:rsidP="00BD2A79">
            <w:pPr>
              <w:ind w:left="567"/>
            </w:pPr>
            <w:r w:rsidRPr="006B44AD">
              <w:t>Principal</w:t>
            </w:r>
          </w:p>
        </w:tc>
        <w:tc>
          <w:tcPr>
            <w:tcW w:w="2268" w:type="dxa"/>
            <w:tcBorders>
              <w:top w:val="nil"/>
              <w:left w:val="nil"/>
              <w:bottom w:val="nil"/>
              <w:right w:val="nil"/>
            </w:tcBorders>
            <w:shd w:val="clear" w:color="auto" w:fill="auto"/>
            <w:noWrap/>
            <w:vAlign w:val="bottom"/>
            <w:hideMark/>
          </w:tcPr>
          <w:p w:rsidR="00F265E6" w:rsidRPr="006B44AD" w:rsidRDefault="00F265E6" w:rsidP="00BD2A79">
            <w:pPr>
              <w:ind w:left="567"/>
              <w:jc w:val="right"/>
            </w:pPr>
            <w:r>
              <w:t>1,035,035.92</w:t>
            </w:r>
          </w:p>
        </w:tc>
      </w:tr>
      <w:tr w:rsidR="00F265E6" w:rsidRPr="006B44AD" w:rsidTr="009A3AFE">
        <w:trPr>
          <w:trHeight w:val="300"/>
        </w:trPr>
        <w:tc>
          <w:tcPr>
            <w:tcW w:w="4693" w:type="dxa"/>
            <w:tcBorders>
              <w:top w:val="nil"/>
              <w:left w:val="nil"/>
              <w:bottom w:val="nil"/>
              <w:right w:val="nil"/>
            </w:tcBorders>
            <w:shd w:val="clear" w:color="auto" w:fill="auto"/>
            <w:noWrap/>
            <w:vAlign w:val="bottom"/>
            <w:hideMark/>
          </w:tcPr>
          <w:p w:rsidR="00F265E6" w:rsidRPr="006B44AD" w:rsidRDefault="00F265E6" w:rsidP="00BD2A79">
            <w:pPr>
              <w:ind w:left="567"/>
            </w:pPr>
            <w:r w:rsidRPr="006B44AD">
              <w:t>Interest</w:t>
            </w:r>
          </w:p>
        </w:tc>
        <w:tc>
          <w:tcPr>
            <w:tcW w:w="2268" w:type="dxa"/>
            <w:tcBorders>
              <w:top w:val="nil"/>
              <w:left w:val="nil"/>
              <w:bottom w:val="nil"/>
              <w:right w:val="nil"/>
            </w:tcBorders>
            <w:shd w:val="clear" w:color="auto" w:fill="auto"/>
            <w:noWrap/>
            <w:vAlign w:val="bottom"/>
            <w:hideMark/>
          </w:tcPr>
          <w:p w:rsidR="00F265E6" w:rsidRPr="006B44AD" w:rsidRDefault="00F265E6" w:rsidP="00BD2A79">
            <w:pPr>
              <w:ind w:left="567"/>
              <w:jc w:val="right"/>
            </w:pPr>
            <w:r>
              <w:t>15,018.51</w:t>
            </w:r>
          </w:p>
        </w:tc>
      </w:tr>
      <w:tr w:rsidR="00F265E6" w:rsidRPr="006B44AD" w:rsidTr="009A3AFE">
        <w:trPr>
          <w:trHeight w:val="300"/>
        </w:trPr>
        <w:tc>
          <w:tcPr>
            <w:tcW w:w="4693" w:type="dxa"/>
            <w:tcBorders>
              <w:top w:val="nil"/>
              <w:left w:val="nil"/>
              <w:bottom w:val="nil"/>
              <w:right w:val="nil"/>
            </w:tcBorders>
            <w:shd w:val="clear" w:color="auto" w:fill="auto"/>
            <w:noWrap/>
            <w:vAlign w:val="bottom"/>
            <w:hideMark/>
          </w:tcPr>
          <w:p w:rsidR="00F265E6" w:rsidRPr="006B44AD" w:rsidRDefault="00F265E6" w:rsidP="00BD2A79">
            <w:pPr>
              <w:ind w:left="567"/>
            </w:pPr>
            <w:r>
              <w:t>Total Distributions</w:t>
            </w:r>
          </w:p>
        </w:tc>
        <w:tc>
          <w:tcPr>
            <w:tcW w:w="2268" w:type="dxa"/>
            <w:tcBorders>
              <w:top w:val="nil"/>
              <w:left w:val="nil"/>
              <w:bottom w:val="nil"/>
              <w:right w:val="nil"/>
            </w:tcBorders>
            <w:shd w:val="clear" w:color="auto" w:fill="auto"/>
            <w:noWrap/>
            <w:vAlign w:val="bottom"/>
            <w:hideMark/>
          </w:tcPr>
          <w:p w:rsidR="00F265E6" w:rsidRPr="006B44AD" w:rsidRDefault="00F265E6" w:rsidP="00BD2A79">
            <w:pPr>
              <w:ind w:left="567"/>
              <w:jc w:val="right"/>
            </w:pPr>
            <w:r>
              <w:t>1,050,054.43</w:t>
            </w:r>
          </w:p>
        </w:tc>
      </w:tr>
      <w:tr w:rsidR="00F265E6" w:rsidRPr="006B44AD" w:rsidTr="009A3AFE">
        <w:trPr>
          <w:trHeight w:val="300"/>
        </w:trPr>
        <w:tc>
          <w:tcPr>
            <w:tcW w:w="4693" w:type="dxa"/>
            <w:tcBorders>
              <w:top w:val="nil"/>
              <w:left w:val="nil"/>
              <w:bottom w:val="nil"/>
              <w:right w:val="nil"/>
            </w:tcBorders>
            <w:shd w:val="clear" w:color="auto" w:fill="auto"/>
            <w:noWrap/>
            <w:vAlign w:val="bottom"/>
            <w:hideMark/>
          </w:tcPr>
          <w:p w:rsidR="00F265E6" w:rsidRPr="006B44AD" w:rsidRDefault="00F265E6" w:rsidP="009A3AFE">
            <w:pPr>
              <w:ind w:left="567"/>
            </w:pPr>
          </w:p>
        </w:tc>
        <w:tc>
          <w:tcPr>
            <w:tcW w:w="2268" w:type="dxa"/>
            <w:tcBorders>
              <w:top w:val="nil"/>
              <w:left w:val="nil"/>
              <w:bottom w:val="nil"/>
              <w:right w:val="nil"/>
            </w:tcBorders>
            <w:shd w:val="clear" w:color="auto" w:fill="auto"/>
            <w:noWrap/>
            <w:vAlign w:val="bottom"/>
            <w:hideMark/>
          </w:tcPr>
          <w:p w:rsidR="00F265E6" w:rsidRPr="006B44AD" w:rsidRDefault="00F265E6" w:rsidP="009A3AFE">
            <w:pPr>
              <w:ind w:left="567"/>
              <w:jc w:val="right"/>
            </w:pPr>
          </w:p>
        </w:tc>
      </w:tr>
      <w:tr w:rsidR="00F265E6" w:rsidRPr="006B44AD" w:rsidTr="009A3AFE">
        <w:trPr>
          <w:trHeight w:val="300"/>
        </w:trPr>
        <w:tc>
          <w:tcPr>
            <w:tcW w:w="4693" w:type="dxa"/>
            <w:tcBorders>
              <w:top w:val="nil"/>
              <w:left w:val="nil"/>
              <w:bottom w:val="nil"/>
              <w:right w:val="nil"/>
            </w:tcBorders>
            <w:shd w:val="clear" w:color="auto" w:fill="auto"/>
            <w:noWrap/>
            <w:vAlign w:val="bottom"/>
            <w:hideMark/>
          </w:tcPr>
          <w:p w:rsidR="00F265E6" w:rsidRPr="006B44AD" w:rsidRDefault="00F265E6" w:rsidP="00BD2A79">
            <w:pPr>
              <w:ind w:left="567"/>
            </w:pPr>
            <w:r>
              <w:t>Claim Outstanding</w:t>
            </w:r>
          </w:p>
        </w:tc>
        <w:tc>
          <w:tcPr>
            <w:tcW w:w="2268" w:type="dxa"/>
            <w:tcBorders>
              <w:top w:val="nil"/>
              <w:left w:val="nil"/>
              <w:bottom w:val="nil"/>
              <w:right w:val="nil"/>
            </w:tcBorders>
            <w:shd w:val="clear" w:color="auto" w:fill="auto"/>
            <w:noWrap/>
            <w:vAlign w:val="bottom"/>
            <w:hideMark/>
          </w:tcPr>
          <w:p w:rsidR="00F265E6" w:rsidRPr="006B44AD" w:rsidRDefault="00F265E6" w:rsidP="00BD2A79">
            <w:pPr>
              <w:ind w:left="567"/>
              <w:jc w:val="right"/>
            </w:pPr>
            <w:r>
              <w:t>1,473,028.89</w:t>
            </w:r>
          </w:p>
        </w:tc>
      </w:tr>
    </w:tbl>
    <w:p w:rsidR="009A3AFE" w:rsidRDefault="009A3AFE" w:rsidP="009A3AFE">
      <w:pPr>
        <w:widowControl w:val="0"/>
        <w:suppressAutoHyphens/>
        <w:ind w:left="567"/>
      </w:pPr>
    </w:p>
    <w:p w:rsidR="009A3AFE" w:rsidRDefault="009A3AFE" w:rsidP="009A3AFE">
      <w:pPr>
        <w:widowControl w:val="0"/>
        <w:suppressAutoHyphens/>
        <w:ind w:left="567" w:firstLine="142"/>
      </w:pPr>
      <w:r>
        <w:t xml:space="preserve">The exact timing and amounts of future distributions is not known at this stage. </w:t>
      </w:r>
    </w:p>
    <w:p w:rsidR="009A3AFE" w:rsidRDefault="009A3AFE" w:rsidP="009A3AFE">
      <w:pPr>
        <w:widowControl w:val="0"/>
        <w:suppressAutoHyphens/>
        <w:ind w:left="567" w:firstLine="142"/>
      </w:pPr>
    </w:p>
    <w:p w:rsidR="009A3AFE" w:rsidRDefault="009A3AFE" w:rsidP="009A3AFE">
      <w:pPr>
        <w:widowControl w:val="0"/>
        <w:suppressAutoHyphens/>
        <w:ind w:left="709"/>
      </w:pPr>
      <w:r>
        <w:t>The deposit is treated as an asset on the balance sheet and the carrying value is written down as distributions are received.</w:t>
      </w:r>
    </w:p>
    <w:p w:rsidR="00F265E6" w:rsidRDefault="00F265E6" w:rsidP="009A3AFE">
      <w:pPr>
        <w:widowControl w:val="0"/>
        <w:suppressAutoHyphens/>
        <w:ind w:left="709"/>
      </w:pPr>
    </w:p>
    <w:p w:rsidR="00F265E6" w:rsidRDefault="00F265E6" w:rsidP="009A3AFE">
      <w:pPr>
        <w:widowControl w:val="0"/>
        <w:suppressAutoHyphens/>
        <w:ind w:left="709"/>
      </w:pPr>
    </w:p>
    <w:p w:rsidR="009A3AFE" w:rsidRPr="00433269" w:rsidRDefault="009A3AFE" w:rsidP="009A3AFE">
      <w:pPr>
        <w:pStyle w:val="ListParagraph"/>
        <w:numPr>
          <w:ilvl w:val="0"/>
          <w:numId w:val="2"/>
        </w:numPr>
        <w:spacing w:after="240"/>
        <w:jc w:val="both"/>
        <w:rPr>
          <w:b/>
        </w:rPr>
      </w:pPr>
      <w:r w:rsidRPr="00433269">
        <w:rPr>
          <w:b/>
        </w:rPr>
        <w:t>Funding arrangements</w:t>
      </w:r>
    </w:p>
    <w:p w:rsidR="009A3AFE" w:rsidRPr="00011806" w:rsidRDefault="009A3AFE" w:rsidP="009A3AFE">
      <w:pPr>
        <w:pStyle w:val="Heading3"/>
        <w:spacing w:before="60" w:after="60" w:line="300" w:lineRule="atLeast"/>
        <w:ind w:left="709"/>
        <w:rPr>
          <w:i w:val="0"/>
          <w:sz w:val="22"/>
          <w:szCs w:val="22"/>
          <w:u w:val="none"/>
        </w:rPr>
      </w:pPr>
      <w:r w:rsidRPr="00011806">
        <w:rPr>
          <w:i w:val="0"/>
          <w:sz w:val="22"/>
          <w:szCs w:val="22"/>
          <w:u w:val="none"/>
        </w:rPr>
        <w:t>Accounts for the year ended 31 March 2012 - Statement by the Consulting Actuary</w:t>
      </w:r>
    </w:p>
    <w:p w:rsidR="009A3AFE" w:rsidRDefault="009A3AFE" w:rsidP="009A3AFE">
      <w:pPr>
        <w:ind w:left="709"/>
      </w:pPr>
    </w:p>
    <w:p w:rsidR="009A3AFE" w:rsidRDefault="009A3AFE" w:rsidP="009A3AFE">
      <w:pPr>
        <w:ind w:left="709"/>
        <w:rPr>
          <w:noProof/>
        </w:rPr>
      </w:pPr>
      <w:r>
        <w:rPr>
          <w:noProof/>
        </w:rPr>
        <w:t>This statement has been provided to meet the requirements under Regulation 34(1)(d) of The Local Government Pension Scheme (Administration) Regulations 2008.</w:t>
      </w:r>
    </w:p>
    <w:p w:rsidR="009A3AFE" w:rsidRDefault="009A3AFE" w:rsidP="009A3AFE">
      <w:pPr>
        <w:rPr>
          <w:noProof/>
        </w:rPr>
      </w:pPr>
    </w:p>
    <w:p w:rsidR="009A3AFE" w:rsidRDefault="009A3AFE" w:rsidP="009A3AFE">
      <w:pPr>
        <w:ind w:left="709"/>
        <w:rPr>
          <w:noProof/>
        </w:rPr>
      </w:pPr>
      <w:r>
        <w:rPr>
          <w:noProof/>
        </w:rPr>
        <w:t xml:space="preserve">An actuarial valuation of the Lancashire County Pension Fund was carried out as at 31 March 2010 to determine the contribution rates with effect from 1 April 2011 to 31 March 2014.  </w:t>
      </w:r>
    </w:p>
    <w:p w:rsidR="009A3AFE" w:rsidRDefault="009A3AFE" w:rsidP="009A3AFE">
      <w:pPr>
        <w:rPr>
          <w:noProof/>
        </w:rPr>
      </w:pPr>
    </w:p>
    <w:p w:rsidR="009A3AFE" w:rsidRDefault="009A3AFE" w:rsidP="009A3AFE">
      <w:pPr>
        <w:pStyle w:val="Header"/>
        <w:spacing w:after="240"/>
        <w:ind w:left="709"/>
      </w:pPr>
      <w:r>
        <w:t xml:space="preserve">On the basis of the assumptions adopted, the Fund’s assets of £3,962 million </w:t>
      </w:r>
      <w:r w:rsidRPr="00B74D79">
        <w:t xml:space="preserve">represented </w:t>
      </w:r>
      <w:r>
        <w:t>80</w:t>
      </w:r>
      <w:r w:rsidRPr="00B74D79">
        <w:t>%</w:t>
      </w:r>
      <w:r>
        <w:t xml:space="preserve"> of the Fund’s past service liabilities of £4,955 million (the “Funding Target”) at the valuation date.  </w:t>
      </w:r>
    </w:p>
    <w:p w:rsidR="009A3AFE" w:rsidRDefault="009A3AFE" w:rsidP="009A3AFE">
      <w:pPr>
        <w:pStyle w:val="Header"/>
        <w:spacing w:after="240"/>
        <w:ind w:left="709" w:hanging="709"/>
      </w:pPr>
      <w:r>
        <w:rPr>
          <w:noProof/>
        </w:rPr>
        <w:drawing>
          <wp:inline distT="0" distB="0" distL="0" distR="0">
            <wp:extent cx="6162675" cy="1724025"/>
            <wp:effectExtent l="0" t="0" r="0" b="0"/>
            <wp:docPr id="34"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A3AFE" w:rsidRDefault="009A3AFE" w:rsidP="009A3AFE">
      <w:pPr>
        <w:pStyle w:val="Header"/>
        <w:spacing w:after="240"/>
        <w:ind w:left="709"/>
      </w:pPr>
      <w:r>
        <w:t xml:space="preserve">The valuation also showed that a common rate of contribution </w:t>
      </w:r>
      <w:r w:rsidRPr="00B74D79">
        <w:t xml:space="preserve">of </w:t>
      </w:r>
      <w:r>
        <w:t>12.5</w:t>
      </w:r>
      <w:r w:rsidRPr="00B74D79">
        <w:t>% of pensionable</w:t>
      </w:r>
      <w:r>
        <w:t xml:space="preserve"> pay per annum was required from employers</w:t>
      </w:r>
      <w:r w:rsidRPr="0003298F">
        <w:t>.  The common rate is calculated as being sufficient, together with contributions paid by members, to meet all liabilities arising in respect of service after the valuation date.</w:t>
      </w:r>
      <w:r>
        <w:t xml:space="preserve">  </w:t>
      </w:r>
    </w:p>
    <w:p w:rsidR="009A3AFE" w:rsidRDefault="009A3AFE" w:rsidP="009A3AFE">
      <w:pPr>
        <w:pStyle w:val="Header"/>
        <w:spacing w:after="240"/>
        <w:ind w:left="709"/>
      </w:pPr>
      <w:r>
        <w:t>Adopting the same method and assumptions as used for assessing the Funding Target the deficit would be eliminated by an average additional contribution rate of</w:t>
      </w:r>
      <w:r w:rsidRPr="00B74D79">
        <w:t xml:space="preserve"> </w:t>
      </w:r>
      <w:r>
        <w:t>6.6</w:t>
      </w:r>
      <w:r w:rsidRPr="00B74D79">
        <w:t>% of pensionable pay</w:t>
      </w:r>
      <w:r>
        <w:t xml:space="preserve"> for 19 years. This would imply</w:t>
      </w:r>
      <w:r w:rsidRPr="00B74D79">
        <w:t xml:space="preserve"> </w:t>
      </w:r>
      <w:r>
        <w:t>an average employer contribution rate of 19.1</w:t>
      </w:r>
      <w:r w:rsidRPr="00B74D79">
        <w:t>% of</w:t>
      </w:r>
      <w:r>
        <w:t xml:space="preserve"> pensionable pay in total</w:t>
      </w:r>
      <w:r w:rsidRPr="00B74D79">
        <w:t>.</w:t>
      </w:r>
    </w:p>
    <w:p w:rsidR="009A3AFE" w:rsidRDefault="009A3AFE" w:rsidP="009A3AFE">
      <w:pPr>
        <w:ind w:left="709"/>
        <w:rPr>
          <w:noProof/>
        </w:rPr>
      </w:pPr>
      <w:r>
        <w:rPr>
          <w:noProof/>
        </w:rPr>
        <w:t xml:space="preserve">Further details regarding the results of the valuation are contained in our formal report on the actuarial valuation dated 31 March 2011. </w:t>
      </w:r>
    </w:p>
    <w:p w:rsidR="009A3AFE" w:rsidRDefault="009A3AFE" w:rsidP="009A3AFE"/>
    <w:p w:rsidR="009A3AFE" w:rsidRDefault="009A3AFE" w:rsidP="009A3AFE">
      <w:pPr>
        <w:pStyle w:val="Header"/>
        <w:spacing w:after="240"/>
        <w:ind w:left="709"/>
      </w:pPr>
      <w:r>
        <w:t xml:space="preserve">In practice, </w:t>
      </w:r>
      <w:r w:rsidRPr="00B74D79">
        <w:t xml:space="preserve">each individual employer’s position is assessed separately and the contributions required are set </w:t>
      </w:r>
      <w:r>
        <w:t>out i</w:t>
      </w:r>
      <w:r w:rsidRPr="00B74D79">
        <w:t>n our report</w:t>
      </w:r>
      <w:r>
        <w:t xml:space="preserve">. </w:t>
      </w:r>
      <w:r w:rsidRPr="00B74D79">
        <w:t>In addition</w:t>
      </w:r>
      <w:r>
        <w:t xml:space="preserve"> to the certified </w:t>
      </w:r>
      <w:r>
        <w:lastRenderedPageBreak/>
        <w:t>contribution rates, payments to cover additional liabilities arising from early retirements (other than ill-health retirements) will be made to the Fund by the employers (although certain employers have some allowance for non-ill health early retirement costs included in their certified contribution rate).</w:t>
      </w:r>
    </w:p>
    <w:p w:rsidR="009A3AFE" w:rsidRDefault="009A3AFE" w:rsidP="009A3AFE">
      <w:pPr>
        <w:pStyle w:val="Header"/>
        <w:spacing w:after="240"/>
        <w:ind w:left="709"/>
      </w:pPr>
      <w:r>
        <w:t xml:space="preserve">The funding plan adopted in assessing the contributions for each individual employer is in accordance with the Funding Strategy Statement (FSS). Different approaches adopted in implementing contribution increases and deficit recovery periods are as determined through the FSS consultation process. </w:t>
      </w:r>
    </w:p>
    <w:p w:rsidR="009A3AFE" w:rsidRDefault="009A3AFE" w:rsidP="009A3AFE">
      <w:pPr>
        <w:pStyle w:val="Header"/>
        <w:ind w:left="709"/>
      </w:pPr>
      <w:r>
        <w:t xml:space="preserve">The valuation was carried out </w:t>
      </w:r>
      <w:r w:rsidRPr="0003298F">
        <w:t>using the projected unit actuarial method and the</w:t>
      </w:r>
      <w:r>
        <w:t xml:space="preserve"> main actuarial assumptions used for assessing the Funding Target and the common contribution rate were as follows:</w:t>
      </w:r>
    </w:p>
    <w:p w:rsidR="009A3AFE" w:rsidRDefault="009A3AFE" w:rsidP="009A3AFE">
      <w:pPr>
        <w:pStyle w:val="Header"/>
      </w:pPr>
    </w:p>
    <w:tbl>
      <w:tblPr>
        <w:tblW w:w="0" w:type="auto"/>
        <w:tblInd w:w="892" w:type="dxa"/>
        <w:tblBorders>
          <w:top w:val="single" w:sz="4" w:space="0" w:color="auto"/>
          <w:bottom w:val="single" w:sz="4" w:space="0" w:color="auto"/>
          <w:insideH w:val="single" w:sz="4" w:space="0" w:color="auto"/>
        </w:tblBorders>
        <w:tblLayout w:type="fixed"/>
        <w:tblCellMar>
          <w:left w:w="72" w:type="dxa"/>
          <w:right w:w="72" w:type="dxa"/>
        </w:tblCellMar>
        <w:tblLook w:val="0000"/>
      </w:tblPr>
      <w:tblGrid>
        <w:gridCol w:w="31"/>
        <w:gridCol w:w="4208"/>
        <w:gridCol w:w="2223"/>
        <w:gridCol w:w="2565"/>
      </w:tblGrid>
      <w:tr w:rsidR="009A3AFE" w:rsidRPr="002D05B5" w:rsidTr="009A3AFE">
        <w:trPr>
          <w:gridBefore w:val="1"/>
          <w:wBefore w:w="31" w:type="dxa"/>
          <w:cantSplit/>
          <w:tblHeader/>
        </w:trPr>
        <w:tc>
          <w:tcPr>
            <w:tcW w:w="4208" w:type="dxa"/>
            <w:tcBorders>
              <w:top w:val="nil"/>
              <w:bottom w:val="nil"/>
            </w:tcBorders>
            <w:shd w:val="clear" w:color="auto" w:fill="333399"/>
            <w:vAlign w:val="bottom"/>
          </w:tcPr>
          <w:p w:rsidR="009A3AFE" w:rsidRPr="002D05B5" w:rsidRDefault="009A3AFE" w:rsidP="009A3AFE">
            <w:pPr>
              <w:pStyle w:val="TableHeadingText"/>
              <w:ind w:left="-856"/>
              <w:rPr>
                <w:color w:val="FFFFFF"/>
              </w:rPr>
            </w:pPr>
          </w:p>
        </w:tc>
        <w:tc>
          <w:tcPr>
            <w:tcW w:w="2223" w:type="dxa"/>
            <w:tcBorders>
              <w:top w:val="nil"/>
              <w:bottom w:val="nil"/>
            </w:tcBorders>
            <w:shd w:val="clear" w:color="auto" w:fill="333399"/>
            <w:vAlign w:val="bottom"/>
          </w:tcPr>
          <w:p w:rsidR="009A3AFE" w:rsidRPr="002D05B5" w:rsidRDefault="009A3AFE" w:rsidP="009A3AFE">
            <w:pPr>
              <w:pStyle w:val="TableHeadingText"/>
              <w:rPr>
                <w:color w:val="FFFFFF"/>
              </w:rPr>
            </w:pPr>
            <w:r w:rsidRPr="002D05B5">
              <w:rPr>
                <w:color w:val="FFFFFF"/>
              </w:rPr>
              <w:t>For past service liabilities (Funding Target)</w:t>
            </w:r>
          </w:p>
        </w:tc>
        <w:tc>
          <w:tcPr>
            <w:tcW w:w="2565" w:type="dxa"/>
            <w:tcBorders>
              <w:top w:val="nil"/>
              <w:bottom w:val="nil"/>
            </w:tcBorders>
            <w:shd w:val="clear" w:color="auto" w:fill="333399"/>
            <w:vAlign w:val="bottom"/>
          </w:tcPr>
          <w:p w:rsidR="009A3AFE" w:rsidRPr="002D05B5" w:rsidRDefault="009A3AFE" w:rsidP="009A3AFE">
            <w:pPr>
              <w:pStyle w:val="TableHeadingText"/>
              <w:rPr>
                <w:color w:val="FFFFFF"/>
              </w:rPr>
            </w:pPr>
            <w:r w:rsidRPr="002D05B5">
              <w:rPr>
                <w:color w:val="FFFFFF"/>
              </w:rPr>
              <w:t>For future service liabilities (Common Contribution Rate)</w:t>
            </w:r>
          </w:p>
        </w:tc>
      </w:tr>
      <w:tr w:rsidR="009A3AFE" w:rsidTr="009A3AFE">
        <w:trPr>
          <w:cantSplit/>
        </w:trPr>
        <w:tc>
          <w:tcPr>
            <w:tcW w:w="4239" w:type="dxa"/>
            <w:gridSpan w:val="2"/>
            <w:tcBorders>
              <w:top w:val="nil"/>
            </w:tcBorders>
            <w:shd w:val="clear" w:color="auto" w:fill="auto"/>
          </w:tcPr>
          <w:p w:rsidR="009A3AFE" w:rsidRDefault="009A3AFE" w:rsidP="009A3AFE">
            <w:pPr>
              <w:pStyle w:val="TableText"/>
              <w:ind w:left="567"/>
            </w:pPr>
            <w:r>
              <w:t>Rate of return on investments (discount rate)</w:t>
            </w:r>
          </w:p>
          <w:p w:rsidR="009A3AFE" w:rsidRDefault="009A3AFE" w:rsidP="009A3AFE">
            <w:pPr>
              <w:pStyle w:val="TableText"/>
              <w:spacing w:before="0" w:after="0"/>
              <w:ind w:left="567"/>
            </w:pPr>
            <w:r>
              <w:t>- pre retirement</w:t>
            </w:r>
          </w:p>
          <w:p w:rsidR="009A3AFE" w:rsidRDefault="009A3AFE" w:rsidP="009A3AFE">
            <w:pPr>
              <w:pStyle w:val="TableText"/>
              <w:spacing w:before="0" w:after="0"/>
              <w:ind w:left="567"/>
            </w:pPr>
            <w:r>
              <w:t>- post retirement</w:t>
            </w:r>
          </w:p>
        </w:tc>
        <w:tc>
          <w:tcPr>
            <w:tcW w:w="2223" w:type="dxa"/>
            <w:tcBorders>
              <w:top w:val="nil"/>
            </w:tcBorders>
            <w:shd w:val="clear" w:color="auto" w:fill="auto"/>
          </w:tcPr>
          <w:p w:rsidR="009A3AFE" w:rsidRDefault="009A3AFE" w:rsidP="009A3AFE">
            <w:pPr>
              <w:pStyle w:val="TableText"/>
              <w:ind w:left="567"/>
            </w:pPr>
          </w:p>
          <w:p w:rsidR="008C7F7C" w:rsidRDefault="008C7F7C" w:rsidP="009A3AFE">
            <w:pPr>
              <w:pStyle w:val="TableText"/>
              <w:spacing w:before="0" w:after="0"/>
              <w:ind w:left="567"/>
            </w:pPr>
          </w:p>
          <w:p w:rsidR="009A3AFE" w:rsidRDefault="009A3AFE" w:rsidP="009A3AFE">
            <w:pPr>
              <w:pStyle w:val="TableText"/>
              <w:spacing w:before="0" w:after="0"/>
              <w:ind w:left="567"/>
            </w:pPr>
            <w:r>
              <w:t>7.0% per annum</w:t>
            </w:r>
          </w:p>
          <w:p w:rsidR="009A3AFE" w:rsidRDefault="009A3AFE" w:rsidP="009A3AFE">
            <w:pPr>
              <w:pStyle w:val="TableText"/>
              <w:spacing w:before="0" w:after="0"/>
              <w:ind w:left="567"/>
            </w:pPr>
            <w:r>
              <w:t>5.5% per annum</w:t>
            </w:r>
          </w:p>
        </w:tc>
        <w:tc>
          <w:tcPr>
            <w:tcW w:w="2565" w:type="dxa"/>
            <w:tcBorders>
              <w:top w:val="nil"/>
            </w:tcBorders>
            <w:shd w:val="clear" w:color="auto" w:fill="auto"/>
          </w:tcPr>
          <w:p w:rsidR="009A3AFE" w:rsidRDefault="009A3AFE" w:rsidP="009A3AFE">
            <w:pPr>
              <w:pStyle w:val="TableText"/>
              <w:ind w:left="567"/>
            </w:pPr>
          </w:p>
          <w:p w:rsidR="008C7F7C" w:rsidRDefault="008C7F7C" w:rsidP="009A3AFE">
            <w:pPr>
              <w:pStyle w:val="TableText"/>
              <w:spacing w:before="0" w:after="0"/>
              <w:ind w:left="567"/>
            </w:pPr>
          </w:p>
          <w:p w:rsidR="009A3AFE" w:rsidRDefault="009A3AFE" w:rsidP="009A3AFE">
            <w:pPr>
              <w:pStyle w:val="TableText"/>
              <w:spacing w:before="0" w:after="0"/>
              <w:ind w:left="567"/>
            </w:pPr>
            <w:r>
              <w:t>6.75% per annum</w:t>
            </w:r>
          </w:p>
          <w:p w:rsidR="009A3AFE" w:rsidRDefault="009A3AFE" w:rsidP="009A3AFE">
            <w:pPr>
              <w:pStyle w:val="TableText"/>
              <w:spacing w:before="0" w:after="0"/>
              <w:ind w:left="567"/>
            </w:pPr>
            <w:r>
              <w:t>6.75% per annum</w:t>
            </w:r>
          </w:p>
        </w:tc>
      </w:tr>
      <w:tr w:rsidR="009A3AFE" w:rsidTr="009A3AFE">
        <w:trPr>
          <w:cantSplit/>
        </w:trPr>
        <w:tc>
          <w:tcPr>
            <w:tcW w:w="4239" w:type="dxa"/>
            <w:gridSpan w:val="2"/>
            <w:shd w:val="clear" w:color="auto" w:fill="auto"/>
          </w:tcPr>
          <w:p w:rsidR="009A3AFE" w:rsidRDefault="009A3AFE" w:rsidP="009A3AFE">
            <w:pPr>
              <w:pStyle w:val="TableText"/>
              <w:ind w:left="567"/>
            </w:pPr>
            <w:r>
              <w:t>Rate of pay increases</w:t>
            </w:r>
          </w:p>
        </w:tc>
        <w:tc>
          <w:tcPr>
            <w:tcW w:w="2223" w:type="dxa"/>
            <w:shd w:val="clear" w:color="auto" w:fill="auto"/>
          </w:tcPr>
          <w:p w:rsidR="009A3AFE" w:rsidRDefault="009A3AFE" w:rsidP="009A3AFE">
            <w:pPr>
              <w:pStyle w:val="TableText"/>
              <w:ind w:left="567"/>
            </w:pPr>
            <w:r>
              <w:t>5.0% per annum</w:t>
            </w:r>
          </w:p>
        </w:tc>
        <w:tc>
          <w:tcPr>
            <w:tcW w:w="2565" w:type="dxa"/>
            <w:shd w:val="clear" w:color="auto" w:fill="auto"/>
          </w:tcPr>
          <w:p w:rsidR="009A3AFE" w:rsidRDefault="009A3AFE" w:rsidP="009A3AFE">
            <w:pPr>
              <w:pStyle w:val="TableText"/>
              <w:ind w:left="567"/>
            </w:pPr>
            <w:r>
              <w:t>5.0% per annum</w:t>
            </w:r>
          </w:p>
        </w:tc>
      </w:tr>
      <w:tr w:rsidR="009A3AFE" w:rsidTr="009A3AFE">
        <w:trPr>
          <w:cantSplit/>
        </w:trPr>
        <w:tc>
          <w:tcPr>
            <w:tcW w:w="4239" w:type="dxa"/>
            <w:gridSpan w:val="2"/>
            <w:shd w:val="clear" w:color="auto" w:fill="auto"/>
          </w:tcPr>
          <w:p w:rsidR="009A3AFE" w:rsidRDefault="009A3AFE" w:rsidP="009A3AFE">
            <w:pPr>
              <w:pStyle w:val="TableText"/>
              <w:spacing w:before="0" w:after="0"/>
              <w:ind w:left="567"/>
            </w:pPr>
            <w:r>
              <w:t xml:space="preserve">Rate of increases in pensions </w:t>
            </w:r>
          </w:p>
          <w:p w:rsidR="009A3AFE" w:rsidRDefault="009A3AFE" w:rsidP="009A3AFE">
            <w:pPr>
              <w:pStyle w:val="TableText"/>
              <w:spacing w:before="0" w:after="0"/>
              <w:ind w:left="567"/>
            </w:pPr>
            <w:r>
              <w:t xml:space="preserve">in payment (in excess of </w:t>
            </w:r>
          </w:p>
          <w:p w:rsidR="009A3AFE" w:rsidRDefault="009A3AFE" w:rsidP="009A3AFE">
            <w:pPr>
              <w:pStyle w:val="TableText"/>
              <w:spacing w:before="0" w:after="0"/>
              <w:ind w:left="567"/>
            </w:pPr>
            <w:r>
              <w:t>Guaranteed Minimum Pension)</w:t>
            </w:r>
          </w:p>
        </w:tc>
        <w:tc>
          <w:tcPr>
            <w:tcW w:w="2223" w:type="dxa"/>
            <w:shd w:val="clear" w:color="auto" w:fill="auto"/>
            <w:vAlign w:val="center"/>
          </w:tcPr>
          <w:p w:rsidR="009A3AFE" w:rsidRDefault="009A3AFE" w:rsidP="009A3AFE">
            <w:pPr>
              <w:pStyle w:val="TableText"/>
              <w:spacing w:before="0" w:after="0"/>
              <w:ind w:left="567"/>
            </w:pPr>
            <w:r>
              <w:t>3.0% per annum</w:t>
            </w:r>
          </w:p>
        </w:tc>
        <w:tc>
          <w:tcPr>
            <w:tcW w:w="2565" w:type="dxa"/>
            <w:shd w:val="clear" w:color="auto" w:fill="auto"/>
            <w:vAlign w:val="center"/>
          </w:tcPr>
          <w:p w:rsidR="009A3AFE" w:rsidRDefault="009A3AFE" w:rsidP="009A3AFE">
            <w:pPr>
              <w:pStyle w:val="TableText"/>
              <w:spacing w:before="0" w:after="0"/>
              <w:ind w:left="567"/>
            </w:pPr>
            <w:r>
              <w:t>3.0% per annum</w:t>
            </w:r>
          </w:p>
        </w:tc>
      </w:tr>
    </w:tbl>
    <w:p w:rsidR="009A3AFE" w:rsidRDefault="009A3AFE" w:rsidP="009A3AFE">
      <w:pPr>
        <w:pStyle w:val="Header"/>
        <w:spacing w:after="240"/>
        <w:ind w:left="567"/>
        <w:rPr>
          <w:sz w:val="16"/>
          <w:szCs w:val="16"/>
        </w:rPr>
      </w:pPr>
    </w:p>
    <w:p w:rsidR="009A3AFE" w:rsidRDefault="009A3AFE" w:rsidP="009A3AFE">
      <w:pPr>
        <w:pStyle w:val="Header"/>
        <w:spacing w:after="240"/>
        <w:ind w:left="709"/>
      </w:pPr>
      <w:r>
        <w:t>The assets were assessed at market value.</w:t>
      </w:r>
    </w:p>
    <w:p w:rsidR="009A3AFE" w:rsidRDefault="009A3AFE" w:rsidP="009A3AFE">
      <w:pPr>
        <w:pStyle w:val="Header"/>
        <w:ind w:left="709"/>
      </w:pPr>
      <w:r>
        <w:t>The next triennial actuarial valuation of the Fund is due as at 31 March 2013.  Based on the results of this valuation, the contribution rates payable by the individual employers will be revised with effect from 1 April 2014.</w:t>
      </w:r>
    </w:p>
    <w:p w:rsidR="009A3AFE" w:rsidRDefault="009A3AFE" w:rsidP="009A3AFE">
      <w:pPr>
        <w:pStyle w:val="BodyTextIndent"/>
        <w:ind w:left="567"/>
      </w:pPr>
    </w:p>
    <w:p w:rsidR="009A3AFE" w:rsidRPr="00270E9B" w:rsidRDefault="009A3AFE" w:rsidP="009A3AFE">
      <w:pPr>
        <w:pStyle w:val="BodyTextIndent"/>
        <w:ind w:left="567"/>
        <w:rPr>
          <w:szCs w:val="24"/>
        </w:rPr>
      </w:pPr>
    </w:p>
    <w:p w:rsidR="009A3AFE" w:rsidRPr="00270E9B" w:rsidRDefault="009A3AFE" w:rsidP="009A3AFE">
      <w:pPr>
        <w:pStyle w:val="ListParagraph"/>
        <w:numPr>
          <w:ilvl w:val="0"/>
          <w:numId w:val="2"/>
        </w:numPr>
        <w:spacing w:after="240"/>
        <w:jc w:val="both"/>
        <w:rPr>
          <w:b/>
        </w:rPr>
      </w:pPr>
      <w:r w:rsidRPr="00270E9B">
        <w:rPr>
          <w:b/>
        </w:rPr>
        <w:t>Actuarial Present Value of Promised Retirement Ben</w:t>
      </w:r>
      <w:r>
        <w:rPr>
          <w:b/>
        </w:rPr>
        <w:t>efits for the purpose of IAS 26</w:t>
      </w:r>
    </w:p>
    <w:p w:rsidR="009A3AFE" w:rsidRDefault="009A3AFE" w:rsidP="00F265E6">
      <w:pPr>
        <w:spacing w:after="240"/>
        <w:ind w:left="709"/>
        <w:jc w:val="both"/>
      </w:pPr>
      <w:r w:rsidRPr="003217BE">
        <w:rPr>
          <w:szCs w:val="24"/>
        </w:rPr>
        <w:t>IAS 26 requires the present value of the Fund’s promised retirement benefits to be disclosed, and for this purpose the actuarial assumptions and methodology used should be based on IAS 19 rather than the assumptions and methodology used for funding purposes.</w:t>
      </w:r>
      <w:r w:rsidR="00FF329A">
        <w:rPr>
          <w:szCs w:val="24"/>
        </w:rPr>
        <w:t xml:space="preserve"> </w:t>
      </w:r>
      <w:r w:rsidRPr="003217BE">
        <w:rPr>
          <w:szCs w:val="24"/>
        </w:rPr>
        <w:t>In order to assess the value of the benefits on this basis, we have used the same actuarial assumptions as those used for funding purposes, other than the discount rate where we have used a rate of 5.6% p.a. both before and after retirement, rather than the rates as outlined above.  We have also used valuation methodology in connection with ill-health and death benefits which is consistent with IAS 19.</w:t>
      </w:r>
      <w:r>
        <w:rPr>
          <w:szCs w:val="24"/>
        </w:rPr>
        <w:t xml:space="preserve">  </w:t>
      </w:r>
      <w:r>
        <w:t>On this basis, the value of the Fund’s promised retirement benefits as at 31 March 2010 was £5,422 million.</w:t>
      </w:r>
    </w:p>
    <w:p w:rsidR="009A3AFE" w:rsidRPr="00AD17B7" w:rsidRDefault="009A3AFE" w:rsidP="009A3AFE">
      <w:pPr>
        <w:pStyle w:val="Header"/>
        <w:ind w:left="709"/>
      </w:pPr>
      <w:r w:rsidRPr="00AD17B7">
        <w:t>John Livesey</w:t>
      </w:r>
    </w:p>
    <w:p w:rsidR="009A3AFE" w:rsidRPr="00AD17B7" w:rsidRDefault="009A3AFE" w:rsidP="009A3AFE">
      <w:pPr>
        <w:pStyle w:val="Header"/>
        <w:ind w:left="709"/>
      </w:pPr>
      <w:r w:rsidRPr="00AD17B7">
        <w:t>Fellow of the Institute and Faculty of Actuaries</w:t>
      </w:r>
    </w:p>
    <w:p w:rsidR="009A3AFE" w:rsidRPr="00AD17B7" w:rsidRDefault="009A3AFE" w:rsidP="009A3AFE">
      <w:pPr>
        <w:pStyle w:val="Header"/>
        <w:ind w:left="709"/>
      </w:pPr>
      <w:r w:rsidRPr="00AD17B7">
        <w:t>Mercer Limited</w:t>
      </w:r>
    </w:p>
    <w:p w:rsidR="009A3AFE" w:rsidRPr="00AD17B7" w:rsidRDefault="009A3AFE" w:rsidP="009A3AFE">
      <w:pPr>
        <w:ind w:left="709"/>
      </w:pPr>
      <w:r w:rsidRPr="00AD17B7">
        <w:rPr>
          <w:szCs w:val="22"/>
        </w:rPr>
        <w:t>June 2012</w:t>
      </w:r>
    </w:p>
    <w:p w:rsidR="009A3AFE" w:rsidRPr="003E5ADD" w:rsidRDefault="009A3AFE" w:rsidP="00F265E6">
      <w:pPr>
        <w:pStyle w:val="Header"/>
        <w:ind w:left="709"/>
        <w:rPr>
          <w:szCs w:val="24"/>
        </w:rPr>
      </w:pPr>
      <w:r>
        <w:lastRenderedPageBreak/>
        <w:t xml:space="preserve"> </w:t>
      </w:r>
      <w:r w:rsidR="00F265E6">
        <w:t xml:space="preserve"> </w:t>
      </w:r>
    </w:p>
    <w:p w:rsidR="009A3AFE" w:rsidRPr="00166665" w:rsidRDefault="009A3AFE" w:rsidP="009A3AFE">
      <w:pPr>
        <w:numPr>
          <w:ilvl w:val="0"/>
          <w:numId w:val="2"/>
        </w:numPr>
        <w:spacing w:after="240"/>
        <w:rPr>
          <w:b/>
          <w:szCs w:val="24"/>
        </w:rPr>
      </w:pPr>
      <w:r w:rsidRPr="00166665">
        <w:rPr>
          <w:b/>
          <w:szCs w:val="24"/>
        </w:rPr>
        <w:t>Statement of Investment Principles</w:t>
      </w:r>
    </w:p>
    <w:p w:rsidR="00F332F8" w:rsidRDefault="009A3AFE" w:rsidP="00F332F8">
      <w:pPr>
        <w:spacing w:after="240"/>
        <w:ind w:left="720"/>
        <w:jc w:val="both"/>
        <w:rPr>
          <w:szCs w:val="24"/>
        </w:rPr>
      </w:pPr>
      <w:r w:rsidRPr="00166665">
        <w:rPr>
          <w:szCs w:val="24"/>
        </w:rPr>
        <w:t xml:space="preserve">The Pension Fund operates within its approved Statement of Investment Principles, which is published </w:t>
      </w:r>
      <w:r>
        <w:rPr>
          <w:szCs w:val="24"/>
        </w:rPr>
        <w:t xml:space="preserve">by the Fund and available from the Fund's website at </w:t>
      </w:r>
      <w:hyperlink r:id="rId30" w:history="1">
        <w:r w:rsidRPr="00226A63">
          <w:rPr>
            <w:rStyle w:val="Hyperlink"/>
          </w:rPr>
          <w:t>http://www.yourpensionservice.org.uk</w:t>
        </w:r>
      </w:hyperlink>
      <w:r>
        <w:rPr>
          <w:szCs w:val="24"/>
        </w:rPr>
        <w:t>.</w:t>
      </w:r>
    </w:p>
    <w:p w:rsidR="00F265E6" w:rsidRDefault="00F265E6" w:rsidP="00F332F8">
      <w:pPr>
        <w:spacing w:after="240"/>
        <w:ind w:left="720"/>
        <w:jc w:val="both"/>
        <w:rPr>
          <w:szCs w:val="24"/>
        </w:rPr>
      </w:pPr>
    </w:p>
    <w:p w:rsidR="00F265E6" w:rsidRDefault="00F265E6" w:rsidP="00F332F8">
      <w:pPr>
        <w:spacing w:after="240"/>
        <w:ind w:left="720"/>
        <w:jc w:val="both"/>
        <w:rPr>
          <w:szCs w:val="24"/>
        </w:rPr>
      </w:pPr>
    </w:p>
    <w:p w:rsidR="00F265E6" w:rsidRDefault="00F265E6" w:rsidP="00F332F8">
      <w:pPr>
        <w:spacing w:after="240"/>
        <w:ind w:left="720"/>
        <w:jc w:val="both"/>
        <w:rPr>
          <w:szCs w:val="24"/>
        </w:rPr>
      </w:pPr>
    </w:p>
    <w:p w:rsidR="00F265E6" w:rsidRDefault="00F265E6" w:rsidP="00F332F8">
      <w:pPr>
        <w:spacing w:after="240"/>
        <w:ind w:left="720"/>
        <w:jc w:val="both"/>
        <w:rPr>
          <w:szCs w:val="24"/>
        </w:rPr>
      </w:pPr>
    </w:p>
    <w:p w:rsidR="00F265E6" w:rsidRDefault="00F265E6" w:rsidP="00F332F8">
      <w:pPr>
        <w:spacing w:after="240"/>
        <w:ind w:left="720"/>
        <w:jc w:val="both"/>
        <w:rPr>
          <w:szCs w:val="24"/>
        </w:rPr>
      </w:pPr>
    </w:p>
    <w:p w:rsidR="00F265E6" w:rsidRDefault="00F265E6" w:rsidP="00F332F8">
      <w:pPr>
        <w:spacing w:after="240"/>
        <w:ind w:left="720"/>
        <w:jc w:val="both"/>
        <w:rPr>
          <w:szCs w:val="24"/>
        </w:rPr>
      </w:pPr>
    </w:p>
    <w:p w:rsidR="00F265E6" w:rsidRDefault="00F265E6" w:rsidP="00F332F8">
      <w:pPr>
        <w:spacing w:after="240"/>
        <w:ind w:left="720"/>
        <w:jc w:val="both"/>
        <w:rPr>
          <w:szCs w:val="24"/>
        </w:rPr>
      </w:pPr>
    </w:p>
    <w:p w:rsidR="00F265E6" w:rsidRDefault="00F265E6" w:rsidP="00F332F8">
      <w:pPr>
        <w:spacing w:after="240"/>
        <w:ind w:left="720"/>
        <w:jc w:val="both"/>
        <w:rPr>
          <w:szCs w:val="24"/>
        </w:rPr>
      </w:pPr>
    </w:p>
    <w:p w:rsidR="00F265E6" w:rsidRDefault="00F265E6" w:rsidP="00F332F8">
      <w:pPr>
        <w:spacing w:after="240"/>
        <w:ind w:left="720"/>
        <w:jc w:val="both"/>
        <w:rPr>
          <w:szCs w:val="24"/>
        </w:rPr>
      </w:pPr>
    </w:p>
    <w:p w:rsidR="00F265E6" w:rsidRDefault="00F265E6" w:rsidP="00F332F8">
      <w:pPr>
        <w:spacing w:after="240"/>
        <w:ind w:left="720"/>
        <w:jc w:val="both"/>
        <w:rPr>
          <w:szCs w:val="24"/>
        </w:rPr>
      </w:pPr>
    </w:p>
    <w:p w:rsidR="00F265E6" w:rsidRDefault="00F265E6" w:rsidP="00F332F8">
      <w:pPr>
        <w:spacing w:after="240"/>
        <w:ind w:left="720"/>
        <w:jc w:val="both"/>
        <w:rPr>
          <w:szCs w:val="24"/>
        </w:rPr>
      </w:pPr>
    </w:p>
    <w:p w:rsidR="00F265E6" w:rsidRDefault="00F265E6" w:rsidP="00F332F8">
      <w:pPr>
        <w:spacing w:after="240"/>
        <w:ind w:left="720"/>
        <w:jc w:val="both"/>
        <w:rPr>
          <w:szCs w:val="24"/>
        </w:rPr>
      </w:pPr>
    </w:p>
    <w:p w:rsidR="00F265E6" w:rsidRDefault="00F265E6" w:rsidP="00F332F8">
      <w:pPr>
        <w:spacing w:after="240"/>
        <w:ind w:left="720"/>
        <w:jc w:val="both"/>
        <w:rPr>
          <w:szCs w:val="24"/>
        </w:rPr>
      </w:pPr>
    </w:p>
    <w:p w:rsidR="00F265E6" w:rsidRDefault="00F265E6" w:rsidP="00F332F8">
      <w:pPr>
        <w:spacing w:after="240"/>
        <w:ind w:left="720"/>
        <w:jc w:val="both"/>
        <w:rPr>
          <w:szCs w:val="24"/>
        </w:rPr>
      </w:pPr>
    </w:p>
    <w:p w:rsidR="00F265E6" w:rsidRDefault="00F265E6" w:rsidP="00F332F8">
      <w:pPr>
        <w:spacing w:after="240"/>
        <w:ind w:left="720"/>
        <w:jc w:val="both"/>
        <w:rPr>
          <w:szCs w:val="24"/>
        </w:rPr>
      </w:pPr>
    </w:p>
    <w:p w:rsidR="00F265E6" w:rsidRDefault="00F265E6" w:rsidP="00F332F8">
      <w:pPr>
        <w:spacing w:after="240"/>
        <w:ind w:left="720"/>
        <w:jc w:val="both"/>
        <w:rPr>
          <w:szCs w:val="24"/>
        </w:rPr>
      </w:pPr>
    </w:p>
    <w:p w:rsidR="00F265E6" w:rsidRDefault="00F265E6" w:rsidP="00F332F8">
      <w:pPr>
        <w:spacing w:after="240"/>
        <w:ind w:left="720"/>
        <w:jc w:val="both"/>
        <w:rPr>
          <w:szCs w:val="24"/>
        </w:rPr>
      </w:pPr>
    </w:p>
    <w:p w:rsidR="00F265E6" w:rsidRDefault="00F265E6" w:rsidP="00F332F8">
      <w:pPr>
        <w:spacing w:after="240"/>
        <w:ind w:left="720"/>
        <w:jc w:val="both"/>
        <w:rPr>
          <w:szCs w:val="24"/>
        </w:rPr>
      </w:pPr>
    </w:p>
    <w:p w:rsidR="00F265E6" w:rsidRDefault="00F265E6" w:rsidP="00F332F8">
      <w:pPr>
        <w:spacing w:after="240"/>
        <w:ind w:left="720"/>
        <w:jc w:val="both"/>
        <w:rPr>
          <w:szCs w:val="24"/>
        </w:rPr>
      </w:pPr>
    </w:p>
    <w:p w:rsidR="00F265E6" w:rsidRDefault="00F265E6" w:rsidP="00F332F8">
      <w:pPr>
        <w:spacing w:after="240"/>
        <w:ind w:left="720"/>
        <w:jc w:val="both"/>
        <w:rPr>
          <w:szCs w:val="24"/>
        </w:rPr>
      </w:pPr>
    </w:p>
    <w:p w:rsidR="00F265E6" w:rsidRDefault="00F265E6" w:rsidP="00F332F8">
      <w:pPr>
        <w:spacing w:after="240"/>
        <w:ind w:left="720"/>
        <w:jc w:val="both"/>
        <w:rPr>
          <w:szCs w:val="24"/>
        </w:rPr>
      </w:pPr>
    </w:p>
    <w:p w:rsidR="00F265E6" w:rsidRDefault="00F265E6" w:rsidP="00F332F8">
      <w:pPr>
        <w:spacing w:after="240"/>
        <w:ind w:left="720"/>
        <w:jc w:val="both"/>
        <w:rPr>
          <w:szCs w:val="24"/>
        </w:rPr>
      </w:pPr>
    </w:p>
    <w:tbl>
      <w:tblPr>
        <w:tblpPr w:leftFromText="180" w:rightFromText="180" w:horzAnchor="margin" w:tblpY="514"/>
        <w:tblW w:w="9580" w:type="dxa"/>
        <w:tblLook w:val="0000"/>
      </w:tblPr>
      <w:tblGrid>
        <w:gridCol w:w="9580"/>
      </w:tblGrid>
      <w:tr w:rsidR="00F855A7" w:rsidRPr="00971F5F" w:rsidTr="009A3AFE">
        <w:trPr>
          <w:trHeight w:val="568"/>
        </w:trPr>
        <w:tc>
          <w:tcPr>
            <w:tcW w:w="9580" w:type="dxa"/>
            <w:tcBorders>
              <w:top w:val="nil"/>
              <w:left w:val="nil"/>
              <w:bottom w:val="nil"/>
              <w:right w:val="nil"/>
            </w:tcBorders>
            <w:shd w:val="clear" w:color="auto" w:fill="auto"/>
            <w:vAlign w:val="center"/>
          </w:tcPr>
          <w:p w:rsidR="00F855A7" w:rsidRPr="00971F5F" w:rsidRDefault="00F855A7" w:rsidP="009A3AFE">
            <w:pPr>
              <w:rPr>
                <w:rFonts w:cs="Arial"/>
                <w:b/>
                <w:bCs/>
                <w:sz w:val="20"/>
              </w:rPr>
            </w:pPr>
          </w:p>
        </w:tc>
      </w:tr>
    </w:tbl>
    <w:p w:rsidR="00002C05" w:rsidRPr="00971F5F" w:rsidRDefault="00002C05" w:rsidP="00011588">
      <w:pPr>
        <w:numPr>
          <w:ilvl w:val="0"/>
          <w:numId w:val="10"/>
        </w:numPr>
      </w:pPr>
      <w:r w:rsidRPr="00971F5F">
        <w:rPr>
          <w:b/>
          <w:snapToGrid w:val="0"/>
          <w:sz w:val="28"/>
          <w:lang w:eastAsia="en-US"/>
        </w:rPr>
        <w:lastRenderedPageBreak/>
        <w:t>Actuarial Valuation</w:t>
      </w:r>
      <w:r w:rsidRPr="00971F5F">
        <w:t xml:space="preserve"> </w:t>
      </w:r>
    </w:p>
    <w:p w:rsidR="00A222AD" w:rsidRPr="00971F5F" w:rsidRDefault="006B1017" w:rsidP="00CF19B0">
      <w:pPr>
        <w:spacing w:before="120"/>
        <w:jc w:val="both"/>
      </w:pPr>
      <w:r w:rsidRPr="00971F5F">
        <w:t xml:space="preserve">An actuarial valuation of the Fund is carried out every three years by the Fund’s </w:t>
      </w:r>
      <w:r w:rsidR="004B2E87" w:rsidRPr="00971F5F">
        <w:t>a</w:t>
      </w:r>
      <w:r w:rsidRPr="00971F5F">
        <w:t>ctuary Mercer.  The most recent valuation carried out was at 31 March 20</w:t>
      </w:r>
      <w:r w:rsidR="00E06FC6" w:rsidRPr="00971F5F">
        <w:t>10</w:t>
      </w:r>
      <w:r w:rsidRPr="00971F5F">
        <w:t xml:space="preserve"> which determines contribution rates effective from 1 April 20</w:t>
      </w:r>
      <w:r w:rsidR="00E06FC6" w:rsidRPr="00971F5F">
        <w:t>11</w:t>
      </w:r>
      <w:r w:rsidRPr="00971F5F">
        <w:t xml:space="preserve"> to 31 March 201</w:t>
      </w:r>
      <w:r w:rsidR="00E06FC6" w:rsidRPr="00971F5F">
        <w:t>4</w:t>
      </w:r>
      <w:r w:rsidRPr="00971F5F">
        <w:t xml:space="preserve">.  </w:t>
      </w:r>
    </w:p>
    <w:p w:rsidR="006B1017" w:rsidRPr="00971F5F" w:rsidRDefault="006B1017" w:rsidP="00CF19B0">
      <w:pPr>
        <w:spacing w:before="120"/>
        <w:jc w:val="both"/>
      </w:pPr>
      <w:r w:rsidRPr="00971F5F">
        <w:t>The Funding objective is to achieve and then maintain assets equal to the funding target.  The Funding target is the present value of 100% of projective accrued liabilities, including allowance for projected final pay.  This is to comply with the requirement</w:t>
      </w:r>
      <w:r w:rsidR="00626516" w:rsidRPr="00971F5F">
        <w:t>s</w:t>
      </w:r>
      <w:r w:rsidRPr="00971F5F">
        <w:t xml:space="preserve"> of the LGPS regulations to secure the solvency of the Fund and is accordance with the </w:t>
      </w:r>
      <w:r w:rsidR="00626516" w:rsidRPr="00971F5F">
        <w:t>Funding Strategy Statement</w:t>
      </w:r>
      <w:r w:rsidR="005F5DB3" w:rsidRPr="00971F5F">
        <w:t>.</w:t>
      </w:r>
      <w:r w:rsidR="00611208" w:rsidRPr="00971F5F">
        <w:t xml:space="preserve"> </w:t>
      </w:r>
      <w:r w:rsidR="00626516" w:rsidRPr="00971F5F">
        <w:t xml:space="preserve"> The methodology and assumptions by which the Funding targets and contribution rates are calculated have also been determined in accordance with the Funding Strategy Statement.</w:t>
      </w:r>
      <w:r w:rsidR="00B01FDC">
        <w:t xml:space="preserve"> </w:t>
      </w:r>
      <w:hyperlink r:id="rId31" w:history="1">
        <w:r w:rsidR="00B01FDC" w:rsidRPr="00B01FDC">
          <w:rPr>
            <w:rStyle w:val="Hyperlink"/>
          </w:rPr>
          <w:t>Funding Strategy Statement</w:t>
        </w:r>
      </w:hyperlink>
    </w:p>
    <w:p w:rsidR="00626516" w:rsidRPr="00971F5F" w:rsidRDefault="00626516" w:rsidP="00CF19B0">
      <w:pPr>
        <w:spacing w:before="120"/>
        <w:jc w:val="both"/>
      </w:pPr>
      <w:r w:rsidRPr="00971F5F">
        <w:t xml:space="preserve">The Funding Strategy Statement specifies a maximum period for achieving full funding of </w:t>
      </w:r>
      <w:r w:rsidR="00091001" w:rsidRPr="00971F5F">
        <w:t>19</w:t>
      </w:r>
      <w:r w:rsidRPr="00971F5F">
        <w:t xml:space="preserve"> years</w:t>
      </w:r>
      <w:r w:rsidR="00091001" w:rsidRPr="00971F5F">
        <w:t xml:space="preserve">, this compares to a maximum period of 22 years adopted at the 2007 valuation in accordance with the then published FSS.  The maximum deficit recovery period is now three years shorter so that the same target date for achieving full funding is being maintained as at the 2007 valuation. </w:t>
      </w:r>
      <w:r w:rsidRPr="00971F5F">
        <w:t xml:space="preserve"> </w:t>
      </w:r>
      <w:r w:rsidR="00091001" w:rsidRPr="00971F5F">
        <w:t>The FSS also</w:t>
      </w:r>
      <w:r w:rsidRPr="00971F5F">
        <w:t xml:space="preserve"> specifies any transitional arrangements (</w:t>
      </w:r>
      <w:r w:rsidR="00091001" w:rsidRPr="00971F5F">
        <w:t>"</w:t>
      </w:r>
      <w:r w:rsidRPr="00971F5F">
        <w:t>phasing</w:t>
      </w:r>
      <w:r w:rsidR="00091001" w:rsidRPr="00971F5F">
        <w:t>"</w:t>
      </w:r>
      <w:r w:rsidRPr="00971F5F">
        <w:t>) for the implementation of revised employer contribution requirements.</w:t>
      </w:r>
    </w:p>
    <w:p w:rsidR="001F5E41" w:rsidRPr="00971F5F" w:rsidRDefault="00626516" w:rsidP="00CF19B0">
      <w:pPr>
        <w:spacing w:before="120"/>
        <w:jc w:val="both"/>
      </w:pPr>
      <w:r w:rsidRPr="00971F5F">
        <w:t>The valuation (effective from 1 April 20</w:t>
      </w:r>
      <w:r w:rsidR="00156197" w:rsidRPr="00971F5F">
        <w:t>11</w:t>
      </w:r>
      <w:r w:rsidRPr="00971F5F">
        <w:t>) revealed a funding level of 8</w:t>
      </w:r>
      <w:r w:rsidR="00156197" w:rsidRPr="00971F5F">
        <w:t>0</w:t>
      </w:r>
      <w:r w:rsidRPr="00971F5F">
        <w:t xml:space="preserve">% and an average employer’s contribution rate of </w:t>
      </w:r>
      <w:r w:rsidR="00091001" w:rsidRPr="00971F5F">
        <w:t>1</w:t>
      </w:r>
      <w:r w:rsidR="00156197" w:rsidRPr="00971F5F">
        <w:t>9</w:t>
      </w:r>
      <w:r w:rsidR="00091001" w:rsidRPr="00971F5F">
        <w:t>.</w:t>
      </w:r>
      <w:r w:rsidR="00156197" w:rsidRPr="00971F5F">
        <w:t>1</w:t>
      </w:r>
      <w:r w:rsidRPr="00971F5F">
        <w:t xml:space="preserve">%.  </w:t>
      </w:r>
      <w:r w:rsidR="001F5E41" w:rsidRPr="00971F5F">
        <w:t>There have been a number of material developments which have impacted on the fund since the previous valuation</w:t>
      </w:r>
      <w:r w:rsidR="00EB6A5D" w:rsidRPr="00971F5F">
        <w:t xml:space="preserve"> in 2007</w:t>
      </w:r>
      <w:r w:rsidR="001F5E41" w:rsidRPr="00971F5F">
        <w:t>.  The introduction</w:t>
      </w:r>
      <w:r w:rsidR="00EB6A5D" w:rsidRPr="00971F5F">
        <w:t xml:space="preserve"> of an Inflation Risk Premium (IRP) into the determination of the pension increase assumption used for the </w:t>
      </w:r>
      <w:r w:rsidR="00A63817" w:rsidRPr="00971F5F">
        <w:t>valuation</w:t>
      </w:r>
      <w:r w:rsidR="00EB6A5D" w:rsidRPr="00971F5F">
        <w:t xml:space="preserve"> has offset the adverse impact of the fall in real yields since the </w:t>
      </w:r>
      <w:r w:rsidR="00BB3305" w:rsidRPr="00971F5F">
        <w:t>2007</w:t>
      </w:r>
      <w:r w:rsidR="00EB6A5D" w:rsidRPr="00971F5F">
        <w:t xml:space="preserve"> valuation.  The effect of the IRP in conjunction with the change from RPI to CPI indexation more than offsets the negative impact of the yields change.  Revisions of the assumptions adopted for the 2010 valuation has overall acted</w:t>
      </w:r>
      <w:r w:rsidR="000A48AF" w:rsidRPr="00971F5F">
        <w:t xml:space="preserve"> to place a lower value on liabilities and has therefore improved the funding position.</w:t>
      </w:r>
    </w:p>
    <w:p w:rsidR="00626516" w:rsidRPr="00971F5F" w:rsidRDefault="001F5E41" w:rsidP="00CF19B0">
      <w:pPr>
        <w:spacing w:before="120"/>
        <w:jc w:val="both"/>
      </w:pPr>
      <w:r w:rsidRPr="00971F5F">
        <w:t>A</w:t>
      </w:r>
      <w:r w:rsidR="004E10D7" w:rsidRPr="00971F5F">
        <w:t xml:space="preserve">n extract from the </w:t>
      </w:r>
      <w:r w:rsidR="00781D1C" w:rsidRPr="00971F5F">
        <w:t xml:space="preserve">certified </w:t>
      </w:r>
      <w:r w:rsidR="004E10D7" w:rsidRPr="00971F5F">
        <w:t>Actuarial Valuation</w:t>
      </w:r>
      <w:r w:rsidR="00781D1C" w:rsidRPr="00971F5F">
        <w:t xml:space="preserve"> produced by Mercer as at 31 March 20</w:t>
      </w:r>
      <w:r w:rsidR="000A48AF" w:rsidRPr="00971F5F">
        <w:t>10</w:t>
      </w:r>
      <w:r w:rsidR="00781D1C" w:rsidRPr="00971F5F">
        <w:t>,</w:t>
      </w:r>
      <w:r w:rsidR="004E10D7" w:rsidRPr="00971F5F">
        <w:t xml:space="preserve"> detailing the breakdown of the 8</w:t>
      </w:r>
      <w:r w:rsidR="000A48AF" w:rsidRPr="00971F5F">
        <w:t>0</w:t>
      </w:r>
      <w:r w:rsidR="004E10D7" w:rsidRPr="00971F5F">
        <w:t xml:space="preserve">% funding </w:t>
      </w:r>
      <w:r w:rsidR="00781D1C" w:rsidRPr="00971F5F">
        <w:t>level</w:t>
      </w:r>
      <w:r w:rsidR="004E10D7" w:rsidRPr="00971F5F">
        <w:t xml:space="preserve"> is as follows:</w:t>
      </w:r>
    </w:p>
    <w:p w:rsidR="00B54720" w:rsidRPr="00971F5F" w:rsidRDefault="00B54720" w:rsidP="00AE240A">
      <w:pPr>
        <w:pStyle w:val="Heading1"/>
      </w:pPr>
      <w:bookmarkStart w:id="1" w:name="_Toc288418495"/>
      <w:r w:rsidRPr="00971F5F">
        <w:rPr>
          <w:color w:val="0057A6"/>
        </w:rPr>
        <w:t>Funding results – funding target</w:t>
      </w:r>
      <w:bookmarkEnd w:id="1"/>
    </w:p>
    <w:p w:rsidR="004126C0" w:rsidRPr="009A3AFE" w:rsidRDefault="0086791E" w:rsidP="009D1E6A">
      <w:pPr>
        <w:pStyle w:val="OutlineNum2"/>
        <w:numPr>
          <w:ilvl w:val="0"/>
          <w:numId w:val="0"/>
        </w:numPr>
        <w:rPr>
          <w:highlight w:val="yellow"/>
        </w:rPr>
      </w:pPr>
      <w:r w:rsidRPr="0086791E">
        <w:rPr>
          <w:noProof/>
          <w:sz w:val="24"/>
          <w:szCs w:val="24"/>
        </w:rPr>
        <w:pict>
          <v:shape id="_x0000_s1029" type="#_x0000_t202" style="position:absolute;margin-left:282.1pt;margin-top:49.25pt;width:67.6pt;height:27pt;z-index:251667456" filled="f" stroked="f">
            <v:textbox style="mso-next-textbox:#_x0000_s1029">
              <w:txbxContent>
                <w:p w:rsidR="00A320D0" w:rsidRDefault="00A320D0" w:rsidP="004126C0">
                  <w:pPr>
                    <w:jc w:val="center"/>
                    <w:rPr>
                      <w:rFonts w:cs="Arial"/>
                      <w:b/>
                      <w:sz w:val="18"/>
                      <w:szCs w:val="18"/>
                    </w:rPr>
                  </w:pPr>
                  <w:r>
                    <w:rPr>
                      <w:rFonts w:cs="Arial"/>
                      <w:b/>
                      <w:sz w:val="18"/>
                      <w:szCs w:val="18"/>
                    </w:rPr>
                    <w:t>Total</w:t>
                  </w:r>
                </w:p>
                <w:p w:rsidR="00A320D0" w:rsidRPr="00A142C4" w:rsidRDefault="00A320D0" w:rsidP="004126C0">
                  <w:pPr>
                    <w:jc w:val="center"/>
                    <w:rPr>
                      <w:rFonts w:cs="Arial"/>
                      <w:b/>
                      <w:sz w:val="18"/>
                      <w:szCs w:val="18"/>
                    </w:rPr>
                  </w:pPr>
                  <w:r>
                    <w:rPr>
                      <w:rFonts w:cs="Arial"/>
                      <w:b/>
                      <w:sz w:val="18"/>
                      <w:szCs w:val="18"/>
                    </w:rPr>
                    <w:t>£4,399m</w:t>
                  </w:r>
                </w:p>
              </w:txbxContent>
            </v:textbox>
          </v:shape>
        </w:pict>
      </w:r>
      <w:r w:rsidRPr="0086791E">
        <w:rPr>
          <w:noProof/>
          <w:sz w:val="24"/>
          <w:szCs w:val="24"/>
        </w:rPr>
        <w:pict>
          <v:shape id="_x0000_s1028" type="#_x0000_t202" style="position:absolute;margin-left:157.3pt;margin-top:49.25pt;width:62.4pt;height:27pt;z-index:251666432" filled="f" stroked="f">
            <v:textbox style="mso-next-textbox:#_x0000_s1028">
              <w:txbxContent>
                <w:p w:rsidR="00A320D0" w:rsidRDefault="00A320D0" w:rsidP="004126C0">
                  <w:pPr>
                    <w:jc w:val="center"/>
                    <w:rPr>
                      <w:rFonts w:cs="Arial"/>
                      <w:b/>
                      <w:sz w:val="18"/>
                      <w:szCs w:val="18"/>
                    </w:rPr>
                  </w:pPr>
                  <w:r>
                    <w:rPr>
                      <w:rFonts w:cs="Arial"/>
                      <w:b/>
                      <w:sz w:val="18"/>
                      <w:szCs w:val="18"/>
                    </w:rPr>
                    <w:t>Total</w:t>
                  </w:r>
                </w:p>
                <w:p w:rsidR="00A320D0" w:rsidRPr="00A142C4" w:rsidRDefault="00A320D0" w:rsidP="004126C0">
                  <w:pPr>
                    <w:jc w:val="center"/>
                    <w:rPr>
                      <w:rFonts w:cs="Arial"/>
                      <w:b/>
                      <w:sz w:val="18"/>
                      <w:szCs w:val="18"/>
                    </w:rPr>
                  </w:pPr>
                  <w:r>
                    <w:rPr>
                      <w:rFonts w:cs="Arial"/>
                      <w:b/>
                      <w:sz w:val="18"/>
                      <w:szCs w:val="18"/>
                    </w:rPr>
                    <w:t>£4,955m</w:t>
                  </w:r>
                </w:p>
              </w:txbxContent>
            </v:textbox>
          </v:shape>
        </w:pict>
      </w:r>
      <w:r w:rsidR="004126C0" w:rsidRPr="00971F5F">
        <w:rPr>
          <w:sz w:val="24"/>
          <w:szCs w:val="24"/>
        </w:rPr>
        <w:t xml:space="preserve">The market value of the Fund’s assets at the valuation date is compared with the value of the Fund’s past service liabilities (the funding target) below.  The funding position at the previous valuation is shown for comparison. </w:t>
      </w:r>
      <w:r w:rsidRPr="0086791E">
        <w:rPr>
          <w:noProof/>
          <w:highlight w:val="yellow"/>
        </w:rPr>
        <w:pict>
          <v:group id="_x0000_s1033" style="position:absolute;margin-left:263.3pt;margin-top:82.2pt;width:63pt;height:27pt;z-index:251669504;mso-position-horizontal-relative:text;mso-position-vertical-relative:text" coordorigin="7547,8947" coordsize="1260,540">
            <v:shape id="_x0000_s1034" type="#_x0000_t202" style="position:absolute;left:7547;top:8947;width:1260;height:540" o:allowincell="f" filled="f" stroked="f">
              <v:textbox style="mso-next-textbox:#_x0000_s1034">
                <w:txbxContent>
                  <w:p w:rsidR="00A320D0" w:rsidRPr="00580A93" w:rsidRDefault="00A320D0" w:rsidP="004126C0">
                    <w:pPr>
                      <w:rPr>
                        <w:rFonts w:cs="Arial"/>
                        <w:b/>
                        <w:sz w:val="18"/>
                        <w:szCs w:val="18"/>
                      </w:rPr>
                    </w:pPr>
                    <w:r>
                      <w:rPr>
                        <w:rFonts w:cs="Arial"/>
                        <w:b/>
                        <w:sz w:val="18"/>
                        <w:szCs w:val="18"/>
                      </w:rPr>
                      <w:t xml:space="preserve">   84</w:t>
                    </w:r>
                    <w:r w:rsidRPr="00580A93">
                      <w:rPr>
                        <w:rFonts w:cs="Arial"/>
                        <w:b/>
                        <w:sz w:val="18"/>
                        <w:szCs w:val="18"/>
                      </w:rPr>
                      <w:t>%</w:t>
                    </w:r>
                  </w:p>
                  <w:p w:rsidR="00A320D0" w:rsidRPr="00580A93" w:rsidRDefault="00A320D0" w:rsidP="004126C0">
                    <w:pPr>
                      <w:rPr>
                        <w:rFonts w:cs="Arial"/>
                        <w:b/>
                        <w:sz w:val="18"/>
                        <w:szCs w:val="18"/>
                      </w:rPr>
                    </w:pPr>
                  </w:p>
                </w:txbxContent>
              </v:textbox>
            </v:shape>
            <v:line id="_x0000_s1035" style="position:absolute" from="7730,9344" to="8270,9344" o:allowincell="f" strokeweight="2.25pt">
              <v:stroke endarrow="block"/>
            </v:line>
          </v:group>
        </w:pict>
      </w:r>
      <w:r w:rsidRPr="0086791E">
        <w:rPr>
          <w:noProof/>
          <w:highlight w:val="yellow"/>
        </w:rPr>
        <w:pict>
          <v:group id="_x0000_s1030" style="position:absolute;margin-left:137.2pt;margin-top:80.3pt;width:63pt;height:27pt;z-index:251668480;mso-position-horizontal-relative:text;mso-position-vertical-relative:text" coordorigin="4428,8947" coordsize="1260,540">
            <v:shape id="_x0000_s1031" type="#_x0000_t202" style="position:absolute;left:4428;top:8947;width:1260;height:540" o:allowincell="f" filled="f" stroked="f">
              <v:textbox style="mso-next-textbox:#_x0000_s1031">
                <w:txbxContent>
                  <w:p w:rsidR="00A320D0" w:rsidRPr="00580A93" w:rsidRDefault="00A320D0" w:rsidP="004126C0">
                    <w:pPr>
                      <w:rPr>
                        <w:rFonts w:cs="Arial"/>
                        <w:b/>
                        <w:sz w:val="18"/>
                        <w:szCs w:val="18"/>
                      </w:rPr>
                    </w:pPr>
                    <w:r>
                      <w:rPr>
                        <w:rFonts w:cs="Arial"/>
                        <w:b/>
                        <w:sz w:val="18"/>
                        <w:szCs w:val="18"/>
                      </w:rPr>
                      <w:t xml:space="preserve">   80</w:t>
                    </w:r>
                    <w:r w:rsidRPr="00580A93">
                      <w:rPr>
                        <w:rFonts w:cs="Arial"/>
                        <w:b/>
                        <w:sz w:val="18"/>
                        <w:szCs w:val="18"/>
                      </w:rPr>
                      <w:t>%</w:t>
                    </w:r>
                  </w:p>
                  <w:p w:rsidR="00A320D0" w:rsidRPr="00580A93" w:rsidRDefault="00A320D0" w:rsidP="004126C0">
                    <w:pPr>
                      <w:rPr>
                        <w:rFonts w:cs="Arial"/>
                        <w:b/>
                        <w:sz w:val="18"/>
                        <w:szCs w:val="18"/>
                      </w:rPr>
                    </w:pPr>
                  </w:p>
                </w:txbxContent>
              </v:textbox>
            </v:shape>
            <v:line id="_x0000_s1032" style="position:absolute" from="4598,9346" to="5138,9346" o:allowincell="f" strokeweight="2.25pt">
              <v:stroke endarrow="block"/>
            </v:line>
          </v:group>
        </w:pict>
      </w:r>
      <w:r w:rsidRPr="0086791E">
        <w:rPr>
          <w:noProof/>
          <w:highlight w:val="yellow"/>
        </w:rPr>
        <w:pict>
          <v:shape id="_x0000_s1036" type="#_x0000_t202" style="position:absolute;margin-left:94.9pt;margin-top:156.85pt;width:117pt;height:18pt;z-index:251670528;mso-position-horizontal-relative:text;mso-position-vertical-relative:text" filled="f" stroked="f">
            <v:textbox style="mso-next-textbox:#_x0000_s1036">
              <w:txbxContent>
                <w:p w:rsidR="00A320D0" w:rsidRPr="003F3C6A" w:rsidRDefault="00A320D0" w:rsidP="004126C0">
                  <w:pPr>
                    <w:jc w:val="center"/>
                    <w:rPr>
                      <w:rFonts w:cs="Arial"/>
                      <w:b/>
                      <w:sz w:val="18"/>
                      <w:szCs w:val="18"/>
                    </w:rPr>
                  </w:pPr>
                  <w:r>
                    <w:rPr>
                      <w:rFonts w:cs="Arial"/>
                      <w:b/>
                      <w:sz w:val="18"/>
                      <w:szCs w:val="18"/>
                    </w:rPr>
                    <w:t>31 March</w:t>
                  </w:r>
                  <w:r w:rsidRPr="003F3C6A">
                    <w:rPr>
                      <w:rFonts w:cs="Arial"/>
                      <w:b/>
                      <w:sz w:val="18"/>
                      <w:szCs w:val="18"/>
                    </w:rPr>
                    <w:t xml:space="preserve"> 20</w:t>
                  </w:r>
                  <w:r>
                    <w:rPr>
                      <w:rFonts w:cs="Arial"/>
                      <w:b/>
                      <w:sz w:val="18"/>
                      <w:szCs w:val="18"/>
                    </w:rPr>
                    <w:t>10</w:t>
                  </w:r>
                </w:p>
              </w:txbxContent>
            </v:textbox>
          </v:shape>
        </w:pict>
      </w:r>
      <w:r w:rsidRPr="0086791E">
        <w:rPr>
          <w:noProof/>
          <w:highlight w:val="yellow"/>
        </w:rPr>
        <w:pict>
          <v:shape id="_x0000_s1037" type="#_x0000_t202" style="position:absolute;margin-left:3in;margin-top:156.85pt;width:126pt;height:18pt;z-index:251671552;mso-position-horizontal-relative:text;mso-position-vertical-relative:text" o:allowincell="f" filled="f" stroked="f">
            <v:textbox style="mso-next-textbox:#_x0000_s1037">
              <w:txbxContent>
                <w:p w:rsidR="00A320D0" w:rsidRPr="00B2401A" w:rsidRDefault="00A320D0" w:rsidP="004126C0">
                  <w:pPr>
                    <w:jc w:val="center"/>
                    <w:rPr>
                      <w:rFonts w:cs="Arial"/>
                      <w:b/>
                      <w:sz w:val="18"/>
                      <w:szCs w:val="18"/>
                    </w:rPr>
                  </w:pPr>
                  <w:r>
                    <w:rPr>
                      <w:rFonts w:cs="Arial"/>
                      <w:b/>
                      <w:sz w:val="18"/>
                      <w:szCs w:val="18"/>
                    </w:rPr>
                    <w:t>31 March 2007</w:t>
                  </w:r>
                </w:p>
              </w:txbxContent>
            </v:textbox>
          </v:shape>
        </w:pict>
      </w:r>
      <w:r w:rsidR="004126C0" w:rsidRPr="009A3AFE">
        <w:rPr>
          <w:noProof/>
          <w:highlight w:val="yellow"/>
        </w:rPr>
        <w:drawing>
          <wp:inline distT="0" distB="0" distL="0" distR="0">
            <wp:extent cx="5029200" cy="2143125"/>
            <wp:effectExtent l="0" t="0" r="0" b="0"/>
            <wp:docPr id="6"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E10D7" w:rsidRPr="009A3AFE" w:rsidRDefault="004E10D7" w:rsidP="00CF19B0">
      <w:pPr>
        <w:spacing w:before="120"/>
        <w:jc w:val="both"/>
        <w:rPr>
          <w:highlight w:val="yellow"/>
        </w:rPr>
      </w:pPr>
    </w:p>
    <w:p w:rsidR="00626516" w:rsidRPr="005514E7" w:rsidRDefault="00BB3305" w:rsidP="00CF19B0">
      <w:pPr>
        <w:spacing w:before="120"/>
        <w:jc w:val="both"/>
      </w:pPr>
      <w:r w:rsidRPr="005514E7">
        <w:lastRenderedPageBreak/>
        <w:t>The employer contributions for 201</w:t>
      </w:r>
      <w:r w:rsidR="00971F5F" w:rsidRPr="005514E7">
        <w:t>1</w:t>
      </w:r>
      <w:r w:rsidRPr="005514E7">
        <w:t>/201</w:t>
      </w:r>
      <w:r w:rsidR="00971F5F" w:rsidRPr="005514E7">
        <w:t>2</w:t>
      </w:r>
      <w:r w:rsidRPr="005514E7">
        <w:t xml:space="preserve"> are based on the 20</w:t>
      </w:r>
      <w:r w:rsidR="00971F5F" w:rsidRPr="005514E7">
        <w:t>10</w:t>
      </w:r>
      <w:r w:rsidRPr="005514E7">
        <w:t xml:space="preserve"> valuation and t</w:t>
      </w:r>
      <w:r w:rsidR="00626516" w:rsidRPr="005514E7">
        <w:t>he recommended employer contribution</w:t>
      </w:r>
      <w:r w:rsidRPr="005514E7">
        <w:t>s</w:t>
      </w:r>
      <w:r w:rsidR="00626516" w:rsidRPr="005514E7">
        <w:t xml:space="preserve"> for the period 1 April 20</w:t>
      </w:r>
      <w:r w:rsidR="00971F5F" w:rsidRPr="005514E7">
        <w:t>11</w:t>
      </w:r>
      <w:r w:rsidR="00626516" w:rsidRPr="005514E7">
        <w:t xml:space="preserve"> to 31 March 20</w:t>
      </w:r>
      <w:r w:rsidR="00392E61" w:rsidRPr="005514E7">
        <w:t>1</w:t>
      </w:r>
      <w:r w:rsidR="00D319B8" w:rsidRPr="005514E7">
        <w:t>4</w:t>
      </w:r>
      <w:r w:rsidR="00626516" w:rsidRPr="005514E7">
        <w:t xml:space="preserve"> are set out in the Schedu</w:t>
      </w:r>
      <w:r w:rsidR="004E10D7" w:rsidRPr="005514E7">
        <w:t xml:space="preserve">le to the Rates and Adjustments at </w:t>
      </w:r>
      <w:r w:rsidR="00E80588" w:rsidRPr="00E80588">
        <w:t>page 5</w:t>
      </w:r>
      <w:r w:rsidR="008750D1" w:rsidRPr="008750D1">
        <w:t>9</w:t>
      </w:r>
      <w:r w:rsidR="008750D1" w:rsidRPr="005514E7">
        <w:t xml:space="preserve"> </w:t>
      </w:r>
      <w:r w:rsidR="004E10D7" w:rsidRPr="005514E7">
        <w:t xml:space="preserve">of this report. </w:t>
      </w:r>
    </w:p>
    <w:p w:rsidR="008321D2" w:rsidRPr="005514E7" w:rsidRDefault="00626516" w:rsidP="00CF19B0">
      <w:pPr>
        <w:spacing w:before="120"/>
        <w:jc w:val="both"/>
      </w:pPr>
      <w:r w:rsidRPr="005514E7">
        <w:t xml:space="preserve">The projected unit method of valuation was used for the valuation and is in common use for funding </w:t>
      </w:r>
      <w:r w:rsidR="004E10D7" w:rsidRPr="005514E7">
        <w:t>P</w:t>
      </w:r>
      <w:r w:rsidRPr="005514E7">
        <w:t xml:space="preserve">ension </w:t>
      </w:r>
      <w:r w:rsidR="004E10D7" w:rsidRPr="005514E7">
        <w:t>F</w:t>
      </w:r>
      <w:r w:rsidRPr="005514E7">
        <w:t>unds in the United Kingdom.</w:t>
      </w:r>
      <w:r w:rsidR="008756A8" w:rsidRPr="005514E7">
        <w:t xml:space="preserve"> </w:t>
      </w:r>
      <w:r w:rsidR="00462AA2" w:rsidRPr="005514E7">
        <w:t xml:space="preserve"> </w:t>
      </w:r>
      <w:r w:rsidRPr="005514E7">
        <w:t xml:space="preserve">The Valuation results depend on financial and </w:t>
      </w:r>
      <w:r w:rsidR="00781D1C" w:rsidRPr="005514E7">
        <w:t>demo</w:t>
      </w:r>
      <w:r w:rsidRPr="005514E7">
        <w:t xml:space="preserve">graphic assumptions </w:t>
      </w:r>
      <w:r w:rsidR="004E10D7" w:rsidRPr="005514E7">
        <w:t>an</w:t>
      </w:r>
      <w:r w:rsidRPr="005514E7">
        <w:t xml:space="preserve">d these are detailed in </w:t>
      </w:r>
      <w:r w:rsidR="004E10D7" w:rsidRPr="005514E7">
        <w:t xml:space="preserve">full in the Actuarial Valuation and at Annex 1 of the Funding Strategy </w:t>
      </w:r>
      <w:r w:rsidR="00781D1C" w:rsidRPr="005514E7">
        <w:t>S</w:t>
      </w:r>
      <w:r w:rsidR="008321D2" w:rsidRPr="005514E7">
        <w:t>tatement</w:t>
      </w:r>
      <w:r w:rsidR="00962A6A" w:rsidRPr="005514E7">
        <w:t>.</w:t>
      </w:r>
      <w:r w:rsidR="008321D2" w:rsidRPr="005514E7">
        <w:t xml:space="preserve"> </w:t>
      </w:r>
      <w:hyperlink r:id="rId33" w:history="1">
        <w:r w:rsidR="00B01FDC" w:rsidRPr="00B01FDC">
          <w:rPr>
            <w:rStyle w:val="Hyperlink"/>
          </w:rPr>
          <w:t>Actuarial Valuation</w:t>
        </w:r>
      </w:hyperlink>
      <w:r w:rsidR="00B01FDC">
        <w:t xml:space="preserve"> &amp; </w:t>
      </w:r>
      <w:hyperlink r:id="rId34" w:history="1">
        <w:r w:rsidR="00B01FDC" w:rsidRPr="00B01FDC">
          <w:rPr>
            <w:rStyle w:val="Hyperlink"/>
          </w:rPr>
          <w:t>Funding Strategy Statement</w:t>
        </w:r>
      </w:hyperlink>
    </w:p>
    <w:p w:rsidR="00962A6A" w:rsidRPr="009A3AFE" w:rsidRDefault="00962A6A" w:rsidP="00CF19B0">
      <w:pPr>
        <w:spacing w:before="120"/>
        <w:jc w:val="both"/>
        <w:rPr>
          <w:highlight w:val="yellow"/>
        </w:rPr>
      </w:pPr>
    </w:p>
    <w:p w:rsidR="0086294C" w:rsidRPr="008750D1" w:rsidRDefault="00E80588" w:rsidP="00CF19B0">
      <w:pPr>
        <w:spacing w:before="120"/>
        <w:jc w:val="both"/>
        <w:rPr>
          <w:b/>
        </w:rPr>
      </w:pPr>
      <w:r w:rsidRPr="00E80588">
        <w:rPr>
          <w:b/>
        </w:rPr>
        <w:t>The Rates and adjustments certified and accompanying schedule extracted from the actuarial valuation are as follows:</w:t>
      </w:r>
    </w:p>
    <w:p w:rsidR="005514E7" w:rsidRDefault="005514E7" w:rsidP="005514E7"/>
    <w:p w:rsidR="005514E7" w:rsidRDefault="005514E7" w:rsidP="005514E7"/>
    <w:p w:rsidR="005514E7" w:rsidRPr="005514E7" w:rsidRDefault="005514E7" w:rsidP="005514E7">
      <w:pPr>
        <w:pStyle w:val="AppendixHeading"/>
        <w:rPr>
          <w:color w:val="0057A6"/>
          <w:sz w:val="20"/>
        </w:rPr>
      </w:pPr>
      <w:bookmarkStart w:id="2" w:name="_Toc288039110"/>
      <w:bookmarkStart w:id="3" w:name="_Toc289350713"/>
      <w:r w:rsidRPr="005514E7">
        <w:rPr>
          <w:color w:val="0057A6"/>
          <w:sz w:val="20"/>
        </w:rPr>
        <w:t>Rates and Adjustments Certificate issued in accordance with Regulation 36 of the Administration Regulations</w:t>
      </w:r>
      <w:bookmarkEnd w:id="2"/>
      <w:bookmarkEnd w:id="3"/>
    </w:p>
    <w:tbl>
      <w:tblPr>
        <w:tblW w:w="0" w:type="auto"/>
        <w:tblLayout w:type="fixed"/>
        <w:tblCellMar>
          <w:left w:w="107" w:type="dxa"/>
          <w:right w:w="107" w:type="dxa"/>
        </w:tblCellMar>
        <w:tblLook w:val="0000"/>
      </w:tblPr>
      <w:tblGrid>
        <w:gridCol w:w="2987"/>
        <w:gridCol w:w="5850"/>
      </w:tblGrid>
      <w:tr w:rsidR="005514E7" w:rsidRPr="005514E7" w:rsidTr="005514E7">
        <w:trPr>
          <w:trHeight w:hRule="exact" w:val="706"/>
        </w:trPr>
        <w:tc>
          <w:tcPr>
            <w:tcW w:w="2987" w:type="dxa"/>
            <w:vAlign w:val="center"/>
          </w:tcPr>
          <w:p w:rsidR="005514E7" w:rsidRPr="005514E7" w:rsidRDefault="005514E7" w:rsidP="005514E7">
            <w:pPr>
              <w:pStyle w:val="NormalSingle"/>
              <w:spacing w:before="40" w:after="40"/>
              <w:rPr>
                <w:b/>
                <w:sz w:val="20"/>
              </w:rPr>
            </w:pPr>
            <w:r w:rsidRPr="005514E7">
              <w:rPr>
                <w:b/>
                <w:sz w:val="20"/>
              </w:rPr>
              <w:t xml:space="preserve">Name of Fund </w:t>
            </w:r>
          </w:p>
        </w:tc>
        <w:tc>
          <w:tcPr>
            <w:tcW w:w="5850" w:type="dxa"/>
            <w:tcBorders>
              <w:top w:val="single" w:sz="6" w:space="0" w:color="auto"/>
              <w:left w:val="single" w:sz="6" w:space="0" w:color="auto"/>
              <w:bottom w:val="single" w:sz="6" w:space="0" w:color="auto"/>
              <w:right w:val="single" w:sz="6" w:space="0" w:color="auto"/>
            </w:tcBorders>
            <w:vAlign w:val="center"/>
          </w:tcPr>
          <w:p w:rsidR="005514E7" w:rsidRPr="005514E7" w:rsidRDefault="005514E7" w:rsidP="005514E7">
            <w:pPr>
              <w:pStyle w:val="NormalSingle"/>
              <w:spacing w:before="40" w:after="40"/>
              <w:rPr>
                <w:sz w:val="20"/>
              </w:rPr>
            </w:pPr>
            <w:r w:rsidRPr="005514E7">
              <w:rPr>
                <w:b/>
                <w:noProof/>
                <w:sz w:val="20"/>
              </w:rPr>
              <w:t>Lancashire County Pension Fund</w:t>
            </w:r>
          </w:p>
        </w:tc>
      </w:tr>
    </w:tbl>
    <w:p w:rsidR="005514E7" w:rsidRPr="005514E7" w:rsidRDefault="005514E7" w:rsidP="005514E7">
      <w:pPr>
        <w:pStyle w:val="NormalSingle"/>
        <w:rPr>
          <w:sz w:val="20"/>
        </w:rPr>
      </w:pPr>
    </w:p>
    <w:p w:rsidR="005514E7" w:rsidRPr="005514E7" w:rsidRDefault="005514E7" w:rsidP="005514E7">
      <w:pPr>
        <w:rPr>
          <w:sz w:val="20"/>
        </w:rPr>
      </w:pPr>
      <w:r w:rsidRPr="005514E7">
        <w:rPr>
          <w:sz w:val="20"/>
        </w:rPr>
        <w:t xml:space="preserve">I hereby certify that, in my opinion, the common rate of employers’ contributions payable in each year of the period of three years beginning 1 April 2011 should be at the rate of </w:t>
      </w:r>
      <w:r w:rsidRPr="005514E7">
        <w:rPr>
          <w:noProof/>
          <w:sz w:val="20"/>
        </w:rPr>
        <w:t xml:space="preserve">12.5 </w:t>
      </w:r>
      <w:r w:rsidRPr="005514E7">
        <w:rPr>
          <w:sz w:val="20"/>
        </w:rPr>
        <w:t xml:space="preserve">per cent of Pensionable Pay.  </w:t>
      </w:r>
    </w:p>
    <w:p w:rsidR="005514E7" w:rsidRPr="005514E7" w:rsidRDefault="005514E7" w:rsidP="005514E7">
      <w:pPr>
        <w:rPr>
          <w:sz w:val="20"/>
        </w:rPr>
      </w:pPr>
      <w:r w:rsidRPr="005514E7">
        <w:rPr>
          <w:sz w:val="20"/>
        </w:rPr>
        <w:t>I hereby certify that, in my opinion, the amount of the employers’ contributions payable in each year of the period of three years beginning with 1 April 2011, as set out above, should be individually adjusted as set out in the attached schedule.</w:t>
      </w:r>
    </w:p>
    <w:p w:rsidR="005514E7" w:rsidRPr="005514E7" w:rsidRDefault="005514E7" w:rsidP="005514E7">
      <w:pPr>
        <w:rPr>
          <w:sz w:val="20"/>
        </w:rPr>
      </w:pPr>
      <w:r w:rsidRPr="005514E7">
        <w:rPr>
          <w:sz w:val="20"/>
        </w:rPr>
        <w:t>Contributions will be payable monthly in arrears with each payment normally being due by the 19th of the following month.  Pensionable Pay is pay as determined under the LGPS regulations for the calculation of employee contributions.</w:t>
      </w:r>
    </w:p>
    <w:p w:rsidR="005514E7" w:rsidRPr="005514E7" w:rsidRDefault="005514E7" w:rsidP="005514E7">
      <w:pPr>
        <w:rPr>
          <w:sz w:val="20"/>
        </w:rPr>
      </w:pPr>
      <w:r w:rsidRPr="005514E7">
        <w:rPr>
          <w:sz w:val="20"/>
        </w:rPr>
        <w:t>For employers where no allowance for non ill-health early retirement costs is included in the valuation a further individual adjustment shall be applied in respect of each non-ill health early retirement occurring in the period of three years covered by this certificate. This further individual adjustment will be calculated in accordance with methods agreed from time to time between the Fund’s actuary and the Administering Authority.</w:t>
      </w:r>
    </w:p>
    <w:p w:rsidR="005514E7" w:rsidRPr="005514E7" w:rsidRDefault="005514E7" w:rsidP="005514E7">
      <w:pPr>
        <w:rPr>
          <w:sz w:val="20"/>
        </w:rPr>
      </w:pPr>
      <w:r w:rsidRPr="005514E7">
        <w:rPr>
          <w:sz w:val="20"/>
        </w:rPr>
        <w:t>The contributions set out in the attached schedule represent the minimum contribution which may be paid by each employer.  Additional contributions may be paid if requested by the employer concerned.</w:t>
      </w:r>
    </w:p>
    <w:p w:rsidR="005514E7" w:rsidRPr="005514E7" w:rsidRDefault="005514E7" w:rsidP="005514E7">
      <w:pPr>
        <w:rPr>
          <w:sz w:val="20"/>
        </w:rPr>
      </w:pPr>
      <w:r w:rsidRPr="005514E7">
        <w:rPr>
          <w:sz w:val="20"/>
        </w:rPr>
        <w:t>The contributions may be varied as agreed by the Actuary and Administering Authority to reflect any changes in contribution requirements as a result of any benefit costs being insured against a third party.</w:t>
      </w:r>
    </w:p>
    <w:p w:rsidR="005514E7" w:rsidRPr="005514E7" w:rsidRDefault="005514E7" w:rsidP="005514E7">
      <w:pPr>
        <w:rPr>
          <w:b/>
          <w:color w:val="0057A6"/>
          <w:sz w:val="20"/>
        </w:rPr>
      </w:pPr>
      <w:r w:rsidRPr="005514E7">
        <w:rPr>
          <w:b/>
          <w:color w:val="0057A6"/>
          <w:sz w:val="20"/>
        </w:rPr>
        <w:t xml:space="preserve">Regulation 36(8)  </w:t>
      </w:r>
    </w:p>
    <w:p w:rsidR="005514E7" w:rsidRPr="005514E7" w:rsidRDefault="005514E7" w:rsidP="005514E7">
      <w:pPr>
        <w:rPr>
          <w:sz w:val="20"/>
        </w:rPr>
      </w:pPr>
      <w:r w:rsidRPr="005514E7">
        <w:rPr>
          <w:sz w:val="20"/>
        </w:rPr>
        <w:t>Allowance for ill health retirements has been included in each employer’s contribution rate, on the basis of the method and assumptions set out in the report.</w:t>
      </w:r>
    </w:p>
    <w:p w:rsidR="005514E7" w:rsidRPr="005514E7" w:rsidRDefault="005514E7" w:rsidP="005514E7">
      <w:pPr>
        <w:rPr>
          <w:sz w:val="20"/>
        </w:rPr>
      </w:pPr>
      <w:r w:rsidRPr="005514E7">
        <w:rPr>
          <w:sz w:val="20"/>
        </w:rPr>
        <w:t>For four employers I have shown on the attached Schedule the allowance made for non-ill health early retirements over the period of three years beginning 1 April 2011 taken into account when setting this employer’s contribution rate.</w:t>
      </w:r>
    </w:p>
    <w:p w:rsidR="005514E7" w:rsidRPr="005514E7" w:rsidRDefault="005514E7" w:rsidP="005514E7">
      <w:pPr>
        <w:rPr>
          <w:sz w:val="20"/>
        </w:rPr>
      </w:pPr>
      <w:r w:rsidRPr="005514E7">
        <w:rPr>
          <w:sz w:val="20"/>
        </w:rPr>
        <w:t>No allowance for non-ill health early retirements has been made in determining the results of the valuation for other employers, on the basis that the costs arising will be met by additional contributions.</w:t>
      </w:r>
    </w:p>
    <w:p w:rsidR="005514E7" w:rsidRPr="005514E7" w:rsidRDefault="005514E7" w:rsidP="005514E7">
      <w:pPr>
        <w:rPr>
          <w:sz w:val="20"/>
        </w:rPr>
      </w:pPr>
      <w:r>
        <w:rPr>
          <w:noProof/>
          <w:sz w:val="20"/>
        </w:rPr>
        <w:drawing>
          <wp:anchor distT="0" distB="0" distL="114300" distR="114300" simplePos="0" relativeHeight="251674624" behindDoc="0" locked="0" layoutInCell="1" allowOverlap="1">
            <wp:simplePos x="0" y="0"/>
            <wp:positionH relativeFrom="column">
              <wp:posOffset>2375535</wp:posOffset>
            </wp:positionH>
            <wp:positionV relativeFrom="paragraph">
              <wp:posOffset>48895</wp:posOffset>
            </wp:positionV>
            <wp:extent cx="923925" cy="542925"/>
            <wp:effectExtent l="19050" t="0" r="9525" b="0"/>
            <wp:wrapSquare wrapText="bothSides"/>
            <wp:docPr id="40" name="Picture 32" descr="sp01032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p010320052"/>
                    <pic:cNvPicPr>
                      <a:picLocks noChangeAspect="1" noChangeArrowheads="1"/>
                    </pic:cNvPicPr>
                  </pic:nvPicPr>
                  <pic:blipFill>
                    <a:blip r:embed="rId35" cstate="print"/>
                    <a:srcRect l="28194" t="67473" r="52292" b="17204"/>
                    <a:stretch>
                      <a:fillRect/>
                    </a:stretch>
                  </pic:blipFill>
                  <pic:spPr bwMode="auto">
                    <a:xfrm>
                      <a:off x="0" y="0"/>
                      <a:ext cx="923925" cy="542925"/>
                    </a:xfrm>
                    <a:prstGeom prst="rect">
                      <a:avLst/>
                    </a:prstGeom>
                    <a:noFill/>
                    <a:ln w="9525">
                      <a:noFill/>
                      <a:miter lim="800000"/>
                      <a:headEnd/>
                      <a:tailEnd/>
                    </a:ln>
                  </pic:spPr>
                </pic:pic>
              </a:graphicData>
            </a:graphic>
          </wp:anchor>
        </w:drawing>
      </w:r>
    </w:p>
    <w:p w:rsidR="005514E7" w:rsidRDefault="005514E7" w:rsidP="005514E7"/>
    <w:p w:rsidR="005514E7" w:rsidRDefault="005514E7" w:rsidP="005514E7">
      <w:pPr>
        <w:rPr>
          <w:b/>
          <w:szCs w:val="22"/>
        </w:rPr>
      </w:pPr>
    </w:p>
    <w:p w:rsidR="005514E7" w:rsidRPr="005514E7" w:rsidRDefault="0086791E" w:rsidP="005514E7">
      <w:pPr>
        <w:rPr>
          <w:b/>
          <w:sz w:val="20"/>
        </w:rPr>
      </w:pPr>
      <w:r>
        <w:rPr>
          <w:b/>
          <w:noProof/>
          <w:sz w:val="20"/>
        </w:rPr>
        <w:pict>
          <v:line id="_x0000_s1038" style="position:absolute;z-index:251673600" from="124.8pt,12.15pt" to="331.8pt,12.15pt"/>
        </w:pict>
      </w:r>
      <w:r w:rsidR="005514E7" w:rsidRPr="005514E7">
        <w:rPr>
          <w:b/>
          <w:sz w:val="20"/>
        </w:rPr>
        <w:t>Signature</w:t>
      </w:r>
    </w:p>
    <w:p w:rsidR="005514E7" w:rsidRPr="005514E7" w:rsidRDefault="005514E7" w:rsidP="005514E7">
      <w:pPr>
        <w:rPr>
          <w:b/>
          <w:sz w:val="20"/>
        </w:rPr>
      </w:pPr>
    </w:p>
    <w:p w:rsidR="005514E7" w:rsidRPr="005514E7" w:rsidRDefault="005514E7" w:rsidP="005514E7">
      <w:pPr>
        <w:rPr>
          <w:noProof/>
          <w:sz w:val="20"/>
        </w:rPr>
      </w:pPr>
      <w:r w:rsidRPr="005514E7">
        <w:rPr>
          <w:b/>
          <w:sz w:val="20"/>
        </w:rPr>
        <w:t>Name</w:t>
      </w:r>
      <w:r w:rsidRPr="005514E7">
        <w:rPr>
          <w:b/>
          <w:sz w:val="20"/>
        </w:rPr>
        <w:tab/>
      </w:r>
      <w:r w:rsidRPr="005514E7">
        <w:rPr>
          <w:b/>
          <w:sz w:val="20"/>
        </w:rPr>
        <w:tab/>
      </w:r>
      <w:r w:rsidRPr="005514E7">
        <w:rPr>
          <w:b/>
          <w:sz w:val="20"/>
        </w:rPr>
        <w:tab/>
      </w:r>
      <w:r w:rsidRPr="005514E7">
        <w:rPr>
          <w:b/>
          <w:sz w:val="20"/>
        </w:rPr>
        <w:tab/>
      </w:r>
      <w:r w:rsidRPr="005514E7">
        <w:rPr>
          <w:b/>
          <w:sz w:val="20"/>
        </w:rPr>
        <w:tab/>
      </w:r>
      <w:r w:rsidRPr="005514E7">
        <w:rPr>
          <w:b/>
          <w:sz w:val="20"/>
        </w:rPr>
        <w:tab/>
      </w:r>
      <w:r w:rsidRPr="005514E7">
        <w:rPr>
          <w:noProof/>
          <w:sz w:val="20"/>
        </w:rPr>
        <w:t>John Livesey</w:t>
      </w:r>
    </w:p>
    <w:p w:rsidR="005514E7" w:rsidRPr="005514E7" w:rsidRDefault="005514E7" w:rsidP="005514E7">
      <w:pPr>
        <w:rPr>
          <w:b/>
          <w:sz w:val="20"/>
        </w:rPr>
      </w:pPr>
      <w:r w:rsidRPr="005514E7">
        <w:rPr>
          <w:b/>
          <w:sz w:val="20"/>
        </w:rPr>
        <w:t>Qualification</w:t>
      </w:r>
      <w:r w:rsidRPr="005514E7">
        <w:rPr>
          <w:b/>
          <w:sz w:val="20"/>
        </w:rPr>
        <w:tab/>
      </w:r>
      <w:r w:rsidRPr="005514E7">
        <w:rPr>
          <w:b/>
          <w:sz w:val="20"/>
        </w:rPr>
        <w:tab/>
      </w:r>
      <w:r w:rsidRPr="005514E7">
        <w:rPr>
          <w:sz w:val="20"/>
        </w:rPr>
        <w:t>Fellow of the Institute of Actuaries</w:t>
      </w:r>
    </w:p>
    <w:p w:rsidR="005514E7" w:rsidRPr="009A3AFE" w:rsidRDefault="005514E7" w:rsidP="005514E7">
      <w:pPr>
        <w:rPr>
          <w:b/>
          <w:sz w:val="28"/>
          <w:highlight w:val="yellow"/>
        </w:rPr>
      </w:pPr>
      <w:r w:rsidRPr="005514E7">
        <w:rPr>
          <w:b/>
          <w:sz w:val="20"/>
        </w:rPr>
        <w:t>Date of signing</w:t>
      </w:r>
      <w:r w:rsidRPr="005514E7">
        <w:rPr>
          <w:b/>
          <w:sz w:val="20"/>
        </w:rPr>
        <w:tab/>
      </w:r>
      <w:r w:rsidRPr="005514E7">
        <w:rPr>
          <w:b/>
          <w:sz w:val="20"/>
        </w:rPr>
        <w:tab/>
      </w:r>
      <w:r w:rsidRPr="005514E7">
        <w:rPr>
          <w:noProof/>
          <w:sz w:val="20"/>
        </w:rPr>
        <w:t>31 March 2011</w:t>
      </w:r>
    </w:p>
    <w:p w:rsidR="00A67129" w:rsidRPr="009A3AFE" w:rsidRDefault="00A67129" w:rsidP="0086294C">
      <w:pPr>
        <w:ind w:left="-284"/>
        <w:jc w:val="center"/>
        <w:rPr>
          <w:b/>
          <w:sz w:val="28"/>
          <w:highlight w:val="yellow"/>
        </w:rPr>
      </w:pPr>
    </w:p>
    <w:p w:rsidR="00962A6A" w:rsidRPr="009A3AFE" w:rsidRDefault="00962A6A" w:rsidP="0086294C">
      <w:pPr>
        <w:ind w:left="-284"/>
        <w:jc w:val="center"/>
        <w:rPr>
          <w:b/>
          <w:sz w:val="28"/>
          <w:highlight w:val="yellow"/>
        </w:rPr>
      </w:pPr>
    </w:p>
    <w:p w:rsidR="00653ED4" w:rsidRPr="009A3AFE" w:rsidRDefault="00653ED4" w:rsidP="0086294C">
      <w:pPr>
        <w:ind w:left="-284"/>
        <w:jc w:val="center"/>
        <w:rPr>
          <w:b/>
          <w:sz w:val="28"/>
          <w:highlight w:val="yellow"/>
        </w:rPr>
      </w:pPr>
    </w:p>
    <w:p w:rsidR="0086294C" w:rsidRPr="009227D1" w:rsidRDefault="0086294C" w:rsidP="0086294C">
      <w:pPr>
        <w:ind w:left="-284"/>
        <w:jc w:val="center"/>
        <w:rPr>
          <w:sz w:val="28"/>
        </w:rPr>
      </w:pPr>
      <w:r w:rsidRPr="009227D1">
        <w:rPr>
          <w:sz w:val="28"/>
        </w:rPr>
        <w:t>Schedule to the Rates and Adjustments Certificate dated 3</w:t>
      </w:r>
      <w:r w:rsidR="009227D1" w:rsidRPr="009227D1">
        <w:rPr>
          <w:sz w:val="28"/>
        </w:rPr>
        <w:t>1</w:t>
      </w:r>
      <w:r w:rsidR="001D02DE" w:rsidRPr="009227D1">
        <w:rPr>
          <w:sz w:val="28"/>
        </w:rPr>
        <w:t xml:space="preserve"> </w:t>
      </w:r>
      <w:r w:rsidRPr="009227D1">
        <w:rPr>
          <w:sz w:val="28"/>
        </w:rPr>
        <w:t>March 20</w:t>
      </w:r>
      <w:r w:rsidR="009227D1" w:rsidRPr="009227D1">
        <w:rPr>
          <w:sz w:val="28"/>
        </w:rPr>
        <w:t>11</w:t>
      </w:r>
    </w:p>
    <w:p w:rsidR="00305FAF" w:rsidRPr="009A3AFE" w:rsidRDefault="00305FAF" w:rsidP="0086294C">
      <w:pPr>
        <w:ind w:left="-284"/>
        <w:jc w:val="center"/>
        <w:rPr>
          <w:b/>
          <w:sz w:val="28"/>
          <w:highlight w:val="yellow"/>
        </w:rPr>
      </w:pPr>
    </w:p>
    <w:p w:rsidR="0086294C" w:rsidRPr="009A3AFE" w:rsidRDefault="0086294C" w:rsidP="0086294C">
      <w:pPr>
        <w:ind w:left="-284"/>
        <w:jc w:val="center"/>
        <w:rPr>
          <w:b/>
          <w:sz w:val="28"/>
          <w:highlight w:val="yellow"/>
        </w:rPr>
      </w:pPr>
    </w:p>
    <w:p w:rsidR="0086294C" w:rsidRPr="009A3AFE" w:rsidRDefault="0086294C" w:rsidP="0086294C">
      <w:pPr>
        <w:rPr>
          <w:sz w:val="12"/>
          <w:highlight w:val="yellow"/>
        </w:rPr>
      </w:pPr>
    </w:p>
    <w:tbl>
      <w:tblPr>
        <w:tblW w:w="10286" w:type="dxa"/>
        <w:tblInd w:w="-225" w:type="dxa"/>
        <w:shd w:val="clear" w:color="auto" w:fill="F3F3F3"/>
        <w:tblLayout w:type="fixed"/>
        <w:tblLook w:val="0000"/>
      </w:tblPr>
      <w:tblGrid>
        <w:gridCol w:w="3168"/>
        <w:gridCol w:w="896"/>
        <w:gridCol w:w="97"/>
        <w:gridCol w:w="773"/>
        <w:gridCol w:w="870"/>
        <w:gridCol w:w="908"/>
        <w:gridCol w:w="832"/>
        <w:gridCol w:w="870"/>
        <w:gridCol w:w="1872"/>
      </w:tblGrid>
      <w:tr w:rsidR="00FD3A07" w:rsidRPr="009A3AFE" w:rsidTr="00F6079E">
        <w:tc>
          <w:tcPr>
            <w:tcW w:w="3168" w:type="dxa"/>
            <w:tcBorders>
              <w:top w:val="single" w:sz="4" w:space="0" w:color="auto"/>
              <w:left w:val="single" w:sz="4" w:space="0" w:color="auto"/>
              <w:right w:val="single" w:sz="4" w:space="0" w:color="auto"/>
            </w:tcBorders>
            <w:shd w:val="clear" w:color="auto" w:fill="F3F3F3"/>
          </w:tcPr>
          <w:p w:rsidR="00FD3A07" w:rsidRPr="009A3AFE" w:rsidRDefault="00FD3A07" w:rsidP="00F524EB">
            <w:pPr>
              <w:rPr>
                <w:b/>
                <w:sz w:val="18"/>
                <w:highlight w:val="yellow"/>
              </w:rPr>
            </w:pPr>
          </w:p>
        </w:tc>
        <w:tc>
          <w:tcPr>
            <w:tcW w:w="1766" w:type="dxa"/>
            <w:gridSpan w:val="3"/>
            <w:tcBorders>
              <w:top w:val="single" w:sz="4" w:space="0" w:color="auto"/>
              <w:left w:val="single" w:sz="4" w:space="0" w:color="auto"/>
              <w:bottom w:val="single" w:sz="4" w:space="0" w:color="auto"/>
              <w:right w:val="single" w:sz="4" w:space="0" w:color="auto"/>
            </w:tcBorders>
            <w:shd w:val="clear" w:color="auto" w:fill="F3F3F3"/>
            <w:vAlign w:val="center"/>
          </w:tcPr>
          <w:p w:rsidR="00FD3A07" w:rsidRPr="00A92013" w:rsidRDefault="00A92013" w:rsidP="00A92013">
            <w:pPr>
              <w:jc w:val="center"/>
              <w:rPr>
                <w:b/>
                <w:color w:val="000000"/>
                <w:sz w:val="18"/>
              </w:rPr>
            </w:pPr>
            <w:r w:rsidRPr="00A92013">
              <w:rPr>
                <w:b/>
                <w:color w:val="000000"/>
                <w:sz w:val="18"/>
              </w:rPr>
              <w:t>2011</w:t>
            </w:r>
            <w:r w:rsidR="00FD3A07" w:rsidRPr="00A92013">
              <w:rPr>
                <w:b/>
                <w:color w:val="000000"/>
                <w:sz w:val="18"/>
              </w:rPr>
              <w:t>/</w:t>
            </w:r>
            <w:r w:rsidRPr="00A92013">
              <w:rPr>
                <w:b/>
                <w:color w:val="000000"/>
                <w:sz w:val="18"/>
              </w:rPr>
              <w:t>12</w:t>
            </w:r>
          </w:p>
        </w:tc>
        <w:tc>
          <w:tcPr>
            <w:tcW w:w="1778"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FD3A07" w:rsidRPr="00A92013" w:rsidRDefault="00FD3A07" w:rsidP="00A92013">
            <w:pPr>
              <w:jc w:val="center"/>
              <w:rPr>
                <w:b/>
                <w:sz w:val="18"/>
              </w:rPr>
            </w:pPr>
            <w:r w:rsidRPr="00A92013">
              <w:rPr>
                <w:b/>
                <w:color w:val="000000"/>
                <w:sz w:val="18"/>
              </w:rPr>
              <w:t>20</w:t>
            </w:r>
            <w:r w:rsidR="00A92013" w:rsidRPr="00A92013">
              <w:rPr>
                <w:b/>
                <w:color w:val="000000"/>
                <w:sz w:val="18"/>
              </w:rPr>
              <w:t>12</w:t>
            </w:r>
            <w:r w:rsidRPr="00A92013">
              <w:rPr>
                <w:b/>
                <w:color w:val="000000"/>
                <w:sz w:val="18"/>
              </w:rPr>
              <w:t>/1</w:t>
            </w:r>
            <w:r w:rsidR="00A92013" w:rsidRPr="00A92013">
              <w:rPr>
                <w:b/>
                <w:color w:val="000000"/>
                <w:sz w:val="18"/>
              </w:rPr>
              <w:t>3</w:t>
            </w:r>
          </w:p>
        </w:tc>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FD3A07" w:rsidRPr="00A92013" w:rsidRDefault="00FD3A07" w:rsidP="00A92013">
            <w:pPr>
              <w:jc w:val="center"/>
              <w:rPr>
                <w:b/>
                <w:sz w:val="18"/>
              </w:rPr>
            </w:pPr>
            <w:r w:rsidRPr="00A92013">
              <w:rPr>
                <w:b/>
                <w:color w:val="000000"/>
                <w:sz w:val="18"/>
                <w:szCs w:val="18"/>
              </w:rPr>
              <w:t>201</w:t>
            </w:r>
            <w:r w:rsidR="00A92013" w:rsidRPr="00A92013">
              <w:rPr>
                <w:b/>
                <w:color w:val="000000"/>
                <w:sz w:val="18"/>
                <w:szCs w:val="18"/>
              </w:rPr>
              <w:t>3</w:t>
            </w:r>
            <w:r w:rsidRPr="00A92013">
              <w:rPr>
                <w:b/>
                <w:color w:val="000000"/>
                <w:sz w:val="18"/>
                <w:szCs w:val="18"/>
              </w:rPr>
              <w:t>/1</w:t>
            </w:r>
            <w:r w:rsidR="00A92013" w:rsidRPr="00A92013">
              <w:rPr>
                <w:b/>
                <w:color w:val="000000"/>
                <w:sz w:val="18"/>
                <w:szCs w:val="18"/>
              </w:rPr>
              <w:t>4</w:t>
            </w:r>
          </w:p>
        </w:tc>
        <w:tc>
          <w:tcPr>
            <w:tcW w:w="1872" w:type="dxa"/>
            <w:tcBorders>
              <w:top w:val="single" w:sz="4" w:space="0" w:color="auto"/>
              <w:left w:val="single" w:sz="4" w:space="0" w:color="auto"/>
              <w:bottom w:val="single" w:sz="4" w:space="0" w:color="auto"/>
              <w:right w:val="single" w:sz="4" w:space="0" w:color="auto"/>
            </w:tcBorders>
            <w:shd w:val="clear" w:color="auto" w:fill="F3F3F3"/>
          </w:tcPr>
          <w:p w:rsidR="00FD3A07" w:rsidRPr="00A92013" w:rsidRDefault="00FD3A07" w:rsidP="00A92013">
            <w:pPr>
              <w:jc w:val="center"/>
              <w:rPr>
                <w:b/>
                <w:sz w:val="18"/>
              </w:rPr>
            </w:pPr>
            <w:r w:rsidRPr="00A92013">
              <w:rPr>
                <w:b/>
                <w:color w:val="000000"/>
                <w:sz w:val="18"/>
                <w:szCs w:val="18"/>
              </w:rPr>
              <w:t>Non-ill health early retirement allowance included for the 3 years 20</w:t>
            </w:r>
            <w:r w:rsidR="00A92013" w:rsidRPr="00A92013">
              <w:rPr>
                <w:b/>
                <w:color w:val="000000"/>
                <w:sz w:val="18"/>
                <w:szCs w:val="18"/>
              </w:rPr>
              <w:t>11</w:t>
            </w:r>
            <w:r w:rsidRPr="00A92013">
              <w:rPr>
                <w:b/>
                <w:color w:val="000000"/>
                <w:sz w:val="18"/>
                <w:szCs w:val="18"/>
              </w:rPr>
              <w:t>/1</w:t>
            </w:r>
            <w:r w:rsidR="00A92013" w:rsidRPr="00A92013">
              <w:rPr>
                <w:b/>
                <w:color w:val="000000"/>
                <w:sz w:val="18"/>
                <w:szCs w:val="18"/>
              </w:rPr>
              <w:t>4</w:t>
            </w:r>
          </w:p>
        </w:tc>
      </w:tr>
      <w:tr w:rsidR="00FD3A07" w:rsidRPr="009A3AFE" w:rsidTr="00F6079E">
        <w:trPr>
          <w:cantSplit/>
          <w:trHeight w:val="397"/>
        </w:trPr>
        <w:tc>
          <w:tcPr>
            <w:tcW w:w="3168" w:type="dxa"/>
            <w:tcBorders>
              <w:left w:val="single" w:sz="4" w:space="0" w:color="auto"/>
              <w:bottom w:val="single" w:sz="4" w:space="0" w:color="auto"/>
              <w:right w:val="single" w:sz="4" w:space="0" w:color="auto"/>
            </w:tcBorders>
            <w:shd w:val="clear" w:color="auto" w:fill="F3F3F3"/>
            <w:vAlign w:val="center"/>
          </w:tcPr>
          <w:p w:rsidR="009227D1" w:rsidRPr="009A3AFE" w:rsidRDefault="009227D1" w:rsidP="00D25355">
            <w:pPr>
              <w:rPr>
                <w:b/>
                <w:sz w:val="18"/>
                <w:highlight w:val="yellow"/>
              </w:rPr>
            </w:pPr>
            <w:r w:rsidRPr="009227D1">
              <w:rPr>
                <w:b/>
                <w:sz w:val="18"/>
              </w:rPr>
              <w:t>Employers</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FD3A07" w:rsidRDefault="00FD3A07" w:rsidP="00A92013">
            <w:pPr>
              <w:jc w:val="center"/>
              <w:rPr>
                <w:b/>
                <w:sz w:val="14"/>
              </w:rPr>
            </w:pPr>
            <w:r w:rsidRPr="00A92013">
              <w:rPr>
                <w:b/>
                <w:sz w:val="14"/>
              </w:rPr>
              <w:t>Individual Adjust-ment)</w:t>
            </w:r>
          </w:p>
          <w:p w:rsidR="00B51B16" w:rsidRPr="00A92013" w:rsidRDefault="00B51B16" w:rsidP="00A92013">
            <w:pPr>
              <w:jc w:val="center"/>
              <w:rPr>
                <w:b/>
                <w:sz w:val="14"/>
              </w:rPr>
            </w:pPr>
            <w:r>
              <w:rPr>
                <w:b/>
                <w:sz w:val="14"/>
              </w:rPr>
              <w:t>%</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FD3A07" w:rsidP="00A92013">
            <w:pPr>
              <w:jc w:val="center"/>
              <w:rPr>
                <w:b/>
                <w:sz w:val="14"/>
              </w:rPr>
            </w:pPr>
            <w:r w:rsidRPr="00A92013">
              <w:rPr>
                <w:b/>
                <w:sz w:val="14"/>
              </w:rPr>
              <w:t>Total Contribu-tion Rate</w:t>
            </w:r>
          </w:p>
          <w:p w:rsidR="00FD3A07" w:rsidRPr="00A92013" w:rsidRDefault="00B51B16" w:rsidP="00A92013">
            <w:pPr>
              <w:jc w:val="center"/>
              <w:rPr>
                <w:b/>
                <w:sz w:val="14"/>
              </w:rPr>
            </w:pPr>
            <w:r>
              <w:rPr>
                <w:b/>
                <w:sz w:val="14"/>
              </w:rPr>
              <w:t>%</w:t>
            </w:r>
            <w:r w:rsidR="00FD3A07" w:rsidRPr="00A92013">
              <w:rPr>
                <w:b/>
                <w:sz w:val="14"/>
              </w:rPr>
              <w:t xml:space="preserve"> </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D3A07" w:rsidRPr="00A92013" w:rsidRDefault="00FD3A07" w:rsidP="00A92013">
            <w:pPr>
              <w:jc w:val="center"/>
              <w:rPr>
                <w:b/>
                <w:sz w:val="14"/>
              </w:rPr>
            </w:pPr>
            <w:r w:rsidRPr="00A92013">
              <w:rPr>
                <w:b/>
                <w:sz w:val="14"/>
              </w:rPr>
              <w:t>Individual Adjust-ment</w:t>
            </w:r>
            <w:r w:rsidRPr="00A92013">
              <w:rPr>
                <w:b/>
                <w:sz w:val="14"/>
              </w:rPr>
              <w:br/>
            </w:r>
            <w:r w:rsidR="00B51B16">
              <w:rPr>
                <w:b/>
                <w:sz w:val="14"/>
              </w:rPr>
              <w:t>%</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FD3A07" w:rsidRDefault="00FD3A07" w:rsidP="00A92013">
            <w:pPr>
              <w:jc w:val="center"/>
              <w:rPr>
                <w:b/>
                <w:sz w:val="14"/>
              </w:rPr>
            </w:pPr>
            <w:r w:rsidRPr="00A92013">
              <w:rPr>
                <w:b/>
                <w:sz w:val="14"/>
              </w:rPr>
              <w:t xml:space="preserve">Total Contribu-tion Rate </w:t>
            </w:r>
          </w:p>
          <w:p w:rsidR="00B51B16" w:rsidRPr="00A92013" w:rsidRDefault="00B51B16" w:rsidP="00A92013">
            <w:pPr>
              <w:jc w:val="center"/>
              <w:rPr>
                <w:b/>
                <w:sz w:val="14"/>
              </w:rPr>
            </w:pPr>
            <w:r>
              <w:rPr>
                <w:b/>
                <w:sz w:val="14"/>
              </w:rPr>
              <w:t>%</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FD3A07" w:rsidRPr="00A92013" w:rsidRDefault="00FD3A07" w:rsidP="00A92013">
            <w:pPr>
              <w:jc w:val="center"/>
              <w:rPr>
                <w:b/>
                <w:sz w:val="14"/>
              </w:rPr>
            </w:pPr>
            <w:r w:rsidRPr="00A92013">
              <w:rPr>
                <w:b/>
                <w:sz w:val="14"/>
              </w:rPr>
              <w:t>Individual Adjust-ment</w:t>
            </w:r>
            <w:r w:rsidRPr="00A92013">
              <w:rPr>
                <w:b/>
                <w:sz w:val="14"/>
              </w:rPr>
              <w:br/>
            </w:r>
            <w:r w:rsidR="00B51B16">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B51B16" w:rsidRDefault="00FD3A07" w:rsidP="00A92013">
            <w:pPr>
              <w:jc w:val="center"/>
              <w:rPr>
                <w:b/>
                <w:sz w:val="14"/>
              </w:rPr>
            </w:pPr>
            <w:r w:rsidRPr="00B51B16">
              <w:rPr>
                <w:b/>
                <w:sz w:val="14"/>
              </w:rPr>
              <w:t>Total Contribu-tion Rate</w:t>
            </w:r>
          </w:p>
          <w:p w:rsidR="00FD3A07" w:rsidRPr="00B51B16" w:rsidRDefault="00B51B16" w:rsidP="00A92013">
            <w:pPr>
              <w:jc w:val="center"/>
              <w:rPr>
                <w:b/>
                <w:sz w:val="14"/>
              </w:rPr>
            </w:pPr>
            <w:r w:rsidRPr="00B51B16">
              <w:rPr>
                <w:b/>
                <w:sz w:val="14"/>
              </w:rPr>
              <w:t>%</w:t>
            </w:r>
            <w:r w:rsidR="00FD3A07" w:rsidRPr="00B51B16">
              <w:rPr>
                <w:b/>
                <w:sz w:val="14"/>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D3A07" w:rsidRPr="009227D1" w:rsidRDefault="00FD3A07" w:rsidP="00D25355">
            <w:pPr>
              <w:jc w:val="center"/>
              <w:rPr>
                <w:b/>
                <w:sz w:val="14"/>
                <w:szCs w:val="14"/>
              </w:rPr>
            </w:pPr>
            <w:r w:rsidRPr="009227D1">
              <w:rPr>
                <w:b/>
                <w:sz w:val="14"/>
                <w:szCs w:val="14"/>
              </w:rPr>
              <w:t>Amount</w:t>
            </w:r>
            <w:r w:rsidRPr="009227D1">
              <w:rPr>
                <w:b/>
                <w:sz w:val="14"/>
                <w:szCs w:val="14"/>
              </w:rPr>
              <w:br/>
              <w:t>£</w:t>
            </w:r>
          </w:p>
        </w:tc>
      </w:tr>
      <w:tr w:rsidR="00A92013" w:rsidRPr="009A3AFE" w:rsidTr="00F6079E">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rPr>
                <w:rFonts w:cs="Arial"/>
                <w:sz w:val="18"/>
                <w:szCs w:val="18"/>
              </w:rPr>
            </w:pPr>
            <w:r>
              <w:rPr>
                <w:rFonts w:cs="Arial"/>
                <w:sz w:val="18"/>
                <w:szCs w:val="18"/>
              </w:rPr>
              <w:t>ABM Catering Ltd</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3.5</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16.0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3.5</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16.0</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3.5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16.0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9A3AFE" w:rsidRDefault="00A92013" w:rsidP="00D25355">
            <w:pPr>
              <w:spacing w:before="60" w:after="60"/>
              <w:jc w:val="center"/>
              <w:rPr>
                <w:sz w:val="18"/>
                <w:szCs w:val="18"/>
                <w:highlight w:val="yellow"/>
              </w:rPr>
            </w:pPr>
          </w:p>
        </w:tc>
      </w:tr>
      <w:tr w:rsidR="00A92013"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9A3AFE" w:rsidRDefault="00A92013" w:rsidP="00D25355">
            <w:pPr>
              <w:spacing w:before="60" w:after="60"/>
              <w:rPr>
                <w:sz w:val="18"/>
                <w:szCs w:val="18"/>
                <w:highlight w:val="yellow"/>
              </w:rPr>
            </w:pPr>
            <w:r w:rsidRPr="00A92013">
              <w:rPr>
                <w:sz w:val="18"/>
                <w:szCs w:val="18"/>
              </w:rPr>
              <w:t>Accrington &amp; Rossendale College</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7.1</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19.6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7.1</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19.6</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7.1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19.6</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9A3AFE" w:rsidRDefault="00A92013" w:rsidP="00D25355">
            <w:pPr>
              <w:spacing w:before="60" w:after="60"/>
              <w:jc w:val="center"/>
              <w:rPr>
                <w:sz w:val="18"/>
                <w:szCs w:val="18"/>
                <w:highlight w:val="yellow"/>
              </w:rPr>
            </w:pPr>
          </w:p>
        </w:tc>
      </w:tr>
      <w:tr w:rsidR="00A92013"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rPr>
                <w:rFonts w:cs="Arial"/>
                <w:sz w:val="18"/>
                <w:szCs w:val="18"/>
              </w:rPr>
            </w:pPr>
            <w:smartTag w:uri="urn:schemas-microsoft-com:office:smarttags" w:element="place">
              <w:smartTag w:uri="urn:schemas-microsoft-com:office:smarttags" w:element="PlaceName">
                <w:r>
                  <w:rPr>
                    <w:rFonts w:cs="Arial"/>
                    <w:sz w:val="18"/>
                    <w:szCs w:val="18"/>
                  </w:rPr>
                  <w:t>Accrington</w:t>
                </w:r>
              </w:smartTag>
              <w:r>
                <w:rPr>
                  <w:rFonts w:cs="Arial"/>
                  <w:sz w:val="18"/>
                  <w:szCs w:val="18"/>
                </w:rPr>
                <w:t xml:space="preserve"> </w:t>
              </w:r>
              <w:smartTag w:uri="urn:schemas-microsoft-com:office:smarttags" w:element="PlaceType">
                <w:r>
                  <w:rPr>
                    <w:rFonts w:cs="Arial"/>
                    <w:sz w:val="18"/>
                    <w:szCs w:val="18"/>
                  </w:rPr>
                  <w:t>Academy</w:t>
                </w:r>
              </w:smartTag>
            </w:smartTag>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-1.8</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10.7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-1.8</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10.7</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10.7</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rPr>
                <w:rFonts w:cs="Arial"/>
                <w:sz w:val="18"/>
                <w:szCs w:val="18"/>
              </w:rPr>
            </w:pPr>
          </w:p>
        </w:tc>
      </w:tr>
      <w:tr w:rsidR="00A92013"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rPr>
                <w:rFonts w:cs="Arial"/>
                <w:sz w:val="18"/>
                <w:szCs w:val="18"/>
              </w:rPr>
            </w:pPr>
            <w:r>
              <w:rPr>
                <w:rFonts w:cs="Arial"/>
                <w:sz w:val="18"/>
                <w:szCs w:val="18"/>
              </w:rPr>
              <w:t>Alternative Futures</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1.7</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14.2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1.7</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14.2</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14.2</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rPr>
                <w:rFonts w:cs="Arial"/>
                <w:sz w:val="18"/>
                <w:szCs w:val="18"/>
              </w:rPr>
            </w:pPr>
          </w:p>
        </w:tc>
      </w:tr>
      <w:tr w:rsidR="00A92013"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rPr>
                <w:rFonts w:cs="Arial"/>
                <w:sz w:val="18"/>
                <w:szCs w:val="18"/>
              </w:rPr>
            </w:pPr>
            <w:r>
              <w:rPr>
                <w:rFonts w:cs="Arial"/>
                <w:sz w:val="18"/>
                <w:szCs w:val="18"/>
              </w:rPr>
              <w:t xml:space="preserve">Andron (City of </w:t>
            </w:r>
            <w:smartTag w:uri="urn:schemas-microsoft-com:office:smarttags" w:element="place">
              <w:smartTag w:uri="urn:schemas-microsoft-com:office:smarttags" w:element="City">
                <w:r>
                  <w:rPr>
                    <w:rFonts w:cs="Arial"/>
                    <w:sz w:val="18"/>
                    <w:szCs w:val="18"/>
                  </w:rPr>
                  <w:t>Preston</w:t>
                </w:r>
              </w:smartTag>
            </w:smartTag>
            <w:r>
              <w:rPr>
                <w:rFonts w:cs="Arial"/>
                <w:sz w:val="18"/>
                <w:szCs w:val="18"/>
              </w:rPr>
              <w:t xml:space="preserve"> High)</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-1.2</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11.3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-1.2</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11.3</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11.3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9A3AFE" w:rsidRDefault="00A92013" w:rsidP="00D25355">
            <w:pPr>
              <w:spacing w:before="60" w:after="60"/>
              <w:jc w:val="center"/>
              <w:rPr>
                <w:sz w:val="18"/>
                <w:szCs w:val="18"/>
                <w:highlight w:val="yellow"/>
              </w:rPr>
            </w:pPr>
          </w:p>
        </w:tc>
      </w:tr>
      <w:tr w:rsidR="00A92013"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rPr>
                <w:rFonts w:cs="Arial"/>
                <w:sz w:val="18"/>
                <w:szCs w:val="18"/>
              </w:rPr>
            </w:pPr>
            <w:r>
              <w:rPr>
                <w:rFonts w:cs="Arial"/>
                <w:sz w:val="18"/>
                <w:szCs w:val="18"/>
              </w:rPr>
              <w:t>Andron (</w:t>
            </w:r>
            <w:smartTag w:uri="urn:schemas-microsoft-com:office:smarttags" w:element="place">
              <w:smartTag w:uri="urn:schemas-microsoft-com:office:smarttags" w:element="PlaceName">
                <w:r>
                  <w:rPr>
                    <w:rFonts w:cs="Arial"/>
                    <w:sz w:val="18"/>
                    <w:szCs w:val="18"/>
                  </w:rPr>
                  <w:t>Glenburn</w:t>
                </w:r>
              </w:smartTag>
              <w:r>
                <w:rPr>
                  <w:rFonts w:cs="Arial"/>
                  <w:sz w:val="18"/>
                  <w:szCs w:val="18"/>
                </w:rPr>
                <w:t xml:space="preserve"> </w:t>
              </w:r>
              <w:smartTag w:uri="urn:schemas-microsoft-com:office:smarttags" w:element="PlaceName">
                <w:r>
                  <w:rPr>
                    <w:rFonts w:cs="Arial"/>
                    <w:sz w:val="18"/>
                    <w:szCs w:val="18"/>
                  </w:rPr>
                  <w:t>Sports</w:t>
                </w:r>
              </w:smartTag>
              <w:r>
                <w:rPr>
                  <w:rFonts w:cs="Arial"/>
                  <w:sz w:val="18"/>
                  <w:szCs w:val="18"/>
                </w:rPr>
                <w:t xml:space="preserve"> </w:t>
              </w:r>
              <w:smartTag w:uri="urn:schemas-microsoft-com:office:smarttags" w:element="PlaceType">
                <w:r>
                  <w:rPr>
                    <w:rFonts w:cs="Arial"/>
                    <w:sz w:val="18"/>
                    <w:szCs w:val="18"/>
                  </w:rPr>
                  <w:t>College</w:t>
                </w:r>
              </w:smartTag>
            </w:smartTag>
            <w:r>
              <w:rPr>
                <w:rFonts w:cs="Arial"/>
                <w:sz w:val="18"/>
                <w:szCs w:val="18"/>
              </w:rPr>
              <w:t>)</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0.5</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13.0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0.5</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13.0</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13.0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9A3AFE" w:rsidRDefault="00A92013" w:rsidP="00D25355">
            <w:pPr>
              <w:spacing w:before="60" w:after="60"/>
              <w:jc w:val="center"/>
              <w:rPr>
                <w:sz w:val="18"/>
                <w:szCs w:val="18"/>
                <w:highlight w:val="yellow"/>
              </w:rPr>
            </w:pPr>
          </w:p>
        </w:tc>
      </w:tr>
      <w:tr w:rsidR="00A92013"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rPr>
                <w:rFonts w:cs="Arial"/>
                <w:sz w:val="18"/>
                <w:szCs w:val="18"/>
              </w:rPr>
            </w:pPr>
            <w:r>
              <w:rPr>
                <w:rFonts w:cs="Arial"/>
                <w:sz w:val="18"/>
                <w:szCs w:val="18"/>
              </w:rPr>
              <w:t>Andron (Kennington)</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0.0</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0.0</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12.5</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0.0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12.5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9A3AFE" w:rsidRDefault="00A92013" w:rsidP="00D25355">
            <w:pPr>
              <w:spacing w:before="60" w:after="60"/>
              <w:jc w:val="center"/>
              <w:rPr>
                <w:sz w:val="18"/>
                <w:szCs w:val="18"/>
                <w:highlight w:val="yellow"/>
              </w:rPr>
            </w:pPr>
          </w:p>
        </w:tc>
      </w:tr>
      <w:tr w:rsidR="00A92013"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rPr>
                <w:rFonts w:cs="Arial"/>
                <w:sz w:val="18"/>
                <w:szCs w:val="18"/>
              </w:rPr>
            </w:pPr>
            <w:r>
              <w:rPr>
                <w:rFonts w:cs="Arial"/>
                <w:sz w:val="18"/>
                <w:szCs w:val="18"/>
              </w:rPr>
              <w:t>Andron (Ribblesdale High)</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-0.3</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12.2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-0.3</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12.2</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-0.3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12.2</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9A3AFE" w:rsidRDefault="00A92013" w:rsidP="00D25355">
            <w:pPr>
              <w:spacing w:before="60" w:after="60"/>
              <w:jc w:val="center"/>
              <w:rPr>
                <w:sz w:val="18"/>
                <w:szCs w:val="18"/>
                <w:highlight w:val="yellow"/>
              </w:rPr>
            </w:pPr>
          </w:p>
        </w:tc>
      </w:tr>
      <w:tr w:rsidR="00A92013"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A92013" w:rsidRDefault="00A92013" w:rsidP="00D25355">
            <w:pPr>
              <w:spacing w:before="60" w:after="60"/>
              <w:rPr>
                <w:snapToGrid w:val="0"/>
                <w:sz w:val="18"/>
                <w:szCs w:val="18"/>
                <w:lang w:eastAsia="en-US"/>
              </w:rPr>
            </w:pPr>
            <w:r w:rsidRPr="00A92013">
              <w:rPr>
                <w:snapToGrid w:val="0"/>
                <w:sz w:val="18"/>
                <w:szCs w:val="18"/>
                <w:lang w:eastAsia="en-US"/>
              </w:rPr>
              <w:t>Arnold Schools</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5.0</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17.5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6.2</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18.7</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7.4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19.9</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9A3AFE" w:rsidRDefault="00A92013" w:rsidP="00D25355">
            <w:pPr>
              <w:spacing w:before="60" w:after="60"/>
              <w:jc w:val="center"/>
              <w:rPr>
                <w:sz w:val="18"/>
                <w:szCs w:val="18"/>
                <w:highlight w:val="yellow"/>
              </w:rPr>
            </w:pPr>
          </w:p>
        </w:tc>
      </w:tr>
      <w:tr w:rsidR="00A92013"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9A3AFE" w:rsidRDefault="00A92013" w:rsidP="00D25355">
            <w:pPr>
              <w:spacing w:before="60" w:after="60"/>
              <w:rPr>
                <w:snapToGrid w:val="0"/>
                <w:sz w:val="18"/>
                <w:szCs w:val="18"/>
                <w:highlight w:val="yellow"/>
                <w:lang w:eastAsia="en-US"/>
              </w:rPr>
            </w:pPr>
            <w:r w:rsidRPr="00A92013">
              <w:rPr>
                <w:snapToGrid w:val="0"/>
                <w:sz w:val="18"/>
                <w:szCs w:val="18"/>
                <w:lang w:eastAsia="en-US"/>
              </w:rPr>
              <w:t>Beaufort Avenue Day Care Centre</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14.0</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26.5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17.7</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30.2</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21.3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33.8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9A3AFE" w:rsidRDefault="00A92013" w:rsidP="00D25355">
            <w:pPr>
              <w:spacing w:before="60" w:after="60"/>
              <w:jc w:val="center"/>
              <w:rPr>
                <w:sz w:val="18"/>
                <w:szCs w:val="18"/>
                <w:highlight w:val="yellow"/>
              </w:rPr>
            </w:pPr>
          </w:p>
        </w:tc>
      </w:tr>
      <w:tr w:rsidR="003606AE"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9A3AFE" w:rsidRDefault="003606AE" w:rsidP="00D25355">
            <w:pPr>
              <w:spacing w:before="60" w:after="60"/>
              <w:rPr>
                <w:snapToGrid w:val="0"/>
                <w:sz w:val="18"/>
                <w:szCs w:val="18"/>
                <w:highlight w:val="yellow"/>
                <w:lang w:eastAsia="en-US"/>
              </w:rPr>
            </w:pPr>
            <w:r w:rsidRPr="003606AE">
              <w:rPr>
                <w:snapToGrid w:val="0"/>
                <w:sz w:val="18"/>
                <w:szCs w:val="18"/>
                <w:lang w:eastAsia="en-US"/>
              </w:rPr>
              <w:t>Blackburn College</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2.9</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15.4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2.9</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15.4</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2.9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15.4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9A3AFE" w:rsidRDefault="003606AE" w:rsidP="00D25355">
            <w:pPr>
              <w:spacing w:before="60" w:after="60"/>
              <w:jc w:val="center"/>
              <w:rPr>
                <w:sz w:val="18"/>
                <w:szCs w:val="18"/>
                <w:highlight w:val="yellow"/>
              </w:rPr>
            </w:pPr>
          </w:p>
        </w:tc>
      </w:tr>
      <w:tr w:rsidR="003606AE"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9A3AFE" w:rsidRDefault="003606AE" w:rsidP="00D25355">
            <w:pPr>
              <w:spacing w:before="60" w:after="60"/>
              <w:rPr>
                <w:snapToGrid w:val="0"/>
                <w:sz w:val="18"/>
                <w:szCs w:val="18"/>
                <w:highlight w:val="yellow"/>
                <w:lang w:eastAsia="en-US"/>
              </w:rPr>
            </w:pPr>
            <w:r w:rsidRPr="003606AE">
              <w:rPr>
                <w:snapToGrid w:val="0"/>
                <w:sz w:val="18"/>
                <w:szCs w:val="18"/>
                <w:lang w:eastAsia="en-US"/>
              </w:rPr>
              <w:t>Blackburn St Mary's College</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1.7</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14.2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1.7</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14.2</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14.2</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9A3AFE" w:rsidRDefault="003606AE" w:rsidP="00D25355">
            <w:pPr>
              <w:spacing w:before="60" w:after="60"/>
              <w:jc w:val="center"/>
              <w:rPr>
                <w:sz w:val="18"/>
                <w:szCs w:val="18"/>
                <w:highlight w:val="yellow"/>
              </w:rPr>
            </w:pPr>
          </w:p>
        </w:tc>
      </w:tr>
      <w:tr w:rsidR="003606AE"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3606AE" w:rsidRDefault="003606AE" w:rsidP="00D25355">
            <w:pPr>
              <w:spacing w:before="60" w:after="60"/>
              <w:rPr>
                <w:snapToGrid w:val="0"/>
                <w:sz w:val="18"/>
                <w:szCs w:val="18"/>
                <w:lang w:eastAsia="en-US"/>
              </w:rPr>
            </w:pPr>
            <w:r w:rsidRPr="003606AE">
              <w:rPr>
                <w:snapToGrid w:val="0"/>
                <w:sz w:val="18"/>
                <w:szCs w:val="18"/>
                <w:lang w:eastAsia="en-US"/>
              </w:rPr>
              <w:t>Blackburn with Darwen Borough Council</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3.1</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15.6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3.6</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16.1</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16.6</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9A3AFE" w:rsidRDefault="003606AE" w:rsidP="00D25355">
            <w:pPr>
              <w:spacing w:before="60" w:after="60"/>
              <w:jc w:val="center"/>
              <w:rPr>
                <w:sz w:val="18"/>
                <w:szCs w:val="18"/>
                <w:highlight w:val="yellow"/>
              </w:rPr>
            </w:pPr>
          </w:p>
        </w:tc>
      </w:tr>
      <w:tr w:rsidR="003606AE"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3606AE" w:rsidRDefault="003606AE" w:rsidP="00D25355">
            <w:pPr>
              <w:spacing w:before="60" w:after="60"/>
              <w:rPr>
                <w:snapToGrid w:val="0"/>
                <w:sz w:val="18"/>
                <w:szCs w:val="18"/>
                <w:lang w:eastAsia="en-US"/>
              </w:rPr>
            </w:pPr>
            <w:r w:rsidRPr="003606AE">
              <w:rPr>
                <w:snapToGrid w:val="0"/>
                <w:sz w:val="18"/>
                <w:szCs w:val="18"/>
                <w:lang w:eastAsia="en-US"/>
              </w:rPr>
              <w:t>Blackpool &amp; The Fylde College</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5.0</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17.5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5.0</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17.5</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17.5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 xml:space="preserve"> £246,000 </w:t>
            </w:r>
          </w:p>
        </w:tc>
      </w:tr>
      <w:tr w:rsidR="003606AE"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3606AE" w:rsidRDefault="003606AE" w:rsidP="00D25355">
            <w:pPr>
              <w:spacing w:before="60" w:after="60"/>
              <w:rPr>
                <w:snapToGrid w:val="0"/>
                <w:sz w:val="18"/>
                <w:szCs w:val="18"/>
                <w:lang w:eastAsia="en-US"/>
              </w:rPr>
            </w:pPr>
            <w:r w:rsidRPr="003606AE">
              <w:rPr>
                <w:snapToGrid w:val="0"/>
                <w:sz w:val="18"/>
                <w:szCs w:val="18"/>
                <w:lang w:eastAsia="en-US"/>
              </w:rPr>
              <w:t>Blackpool Airport Ltd (from July 2004)</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F91505" w:rsidRDefault="003606AE" w:rsidP="003606AE">
            <w:pPr>
              <w:autoSpaceDE w:val="0"/>
              <w:autoSpaceDN w:val="0"/>
              <w:adjustRightInd w:val="0"/>
              <w:jc w:val="center"/>
              <w:rPr>
                <w:rFonts w:cs="Arial"/>
                <w:sz w:val="18"/>
                <w:szCs w:val="18"/>
              </w:rPr>
            </w:pPr>
            <w:r w:rsidRPr="00F91505">
              <w:rPr>
                <w:rFonts w:cs="Arial"/>
                <w:sz w:val="18"/>
                <w:szCs w:val="18"/>
              </w:rPr>
              <w:t>20.5</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F91505" w:rsidRDefault="003606AE" w:rsidP="003606AE">
            <w:pPr>
              <w:autoSpaceDE w:val="0"/>
              <w:autoSpaceDN w:val="0"/>
              <w:adjustRightInd w:val="0"/>
              <w:jc w:val="center"/>
              <w:rPr>
                <w:rFonts w:cs="Arial"/>
                <w:sz w:val="18"/>
                <w:szCs w:val="18"/>
              </w:rPr>
            </w:pPr>
            <w:r w:rsidRPr="00F91505">
              <w:rPr>
                <w:rFonts w:cs="Arial"/>
                <w:sz w:val="18"/>
                <w:szCs w:val="18"/>
              </w:rPr>
              <w:t>33.0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F91505" w:rsidRDefault="003606AE" w:rsidP="003606AE">
            <w:pPr>
              <w:autoSpaceDE w:val="0"/>
              <w:autoSpaceDN w:val="0"/>
              <w:adjustRightInd w:val="0"/>
              <w:jc w:val="center"/>
              <w:rPr>
                <w:rFonts w:cs="Arial"/>
                <w:sz w:val="18"/>
                <w:szCs w:val="18"/>
              </w:rPr>
            </w:pPr>
            <w:r w:rsidRPr="00F91505">
              <w:rPr>
                <w:rFonts w:cs="Arial"/>
                <w:sz w:val="18"/>
                <w:szCs w:val="18"/>
              </w:rPr>
              <w:t>24.5</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F91505" w:rsidRDefault="003606AE" w:rsidP="003606AE">
            <w:pPr>
              <w:autoSpaceDE w:val="0"/>
              <w:autoSpaceDN w:val="0"/>
              <w:adjustRightInd w:val="0"/>
              <w:jc w:val="center"/>
              <w:rPr>
                <w:rFonts w:cs="Arial"/>
                <w:sz w:val="18"/>
                <w:szCs w:val="18"/>
              </w:rPr>
            </w:pPr>
            <w:r w:rsidRPr="00F91505">
              <w:rPr>
                <w:rFonts w:cs="Arial"/>
                <w:sz w:val="18"/>
                <w:szCs w:val="18"/>
              </w:rPr>
              <w:t>37.0</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F91505" w:rsidRDefault="003606AE" w:rsidP="003606AE">
            <w:pPr>
              <w:autoSpaceDE w:val="0"/>
              <w:autoSpaceDN w:val="0"/>
              <w:adjustRightInd w:val="0"/>
              <w:jc w:val="center"/>
              <w:rPr>
                <w:rFonts w:cs="Arial"/>
                <w:sz w:val="18"/>
                <w:szCs w:val="18"/>
              </w:rPr>
            </w:pPr>
            <w:r w:rsidRPr="00F91505">
              <w:rPr>
                <w:rFonts w:cs="Arial"/>
                <w:sz w:val="18"/>
                <w:szCs w:val="18"/>
              </w:rPr>
              <w:t>27.8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F91505" w:rsidRDefault="003606AE" w:rsidP="003606AE">
            <w:pPr>
              <w:autoSpaceDE w:val="0"/>
              <w:autoSpaceDN w:val="0"/>
              <w:adjustRightInd w:val="0"/>
              <w:jc w:val="center"/>
              <w:rPr>
                <w:rFonts w:cs="Arial"/>
                <w:sz w:val="18"/>
                <w:szCs w:val="18"/>
              </w:rPr>
            </w:pPr>
            <w:r w:rsidRPr="00F91505">
              <w:rPr>
                <w:rFonts w:cs="Arial"/>
                <w:sz w:val="18"/>
                <w:szCs w:val="18"/>
              </w:rPr>
              <w:t>40.3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9A3AFE" w:rsidRDefault="003606AE" w:rsidP="00D25355">
            <w:pPr>
              <w:spacing w:before="60" w:after="60"/>
              <w:jc w:val="center"/>
              <w:rPr>
                <w:sz w:val="18"/>
                <w:szCs w:val="18"/>
                <w:highlight w:val="yellow"/>
              </w:rPr>
            </w:pPr>
          </w:p>
        </w:tc>
      </w:tr>
      <w:tr w:rsidR="003606AE"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3606AE" w:rsidRDefault="003606AE" w:rsidP="00D25355">
            <w:pPr>
              <w:spacing w:before="60" w:after="60"/>
              <w:rPr>
                <w:snapToGrid w:val="0"/>
                <w:sz w:val="18"/>
                <w:szCs w:val="18"/>
                <w:lang w:eastAsia="en-US"/>
              </w:rPr>
            </w:pPr>
            <w:r w:rsidRPr="003606AE">
              <w:rPr>
                <w:snapToGrid w:val="0"/>
                <w:sz w:val="18"/>
                <w:szCs w:val="18"/>
                <w:lang w:eastAsia="en-US"/>
              </w:rPr>
              <w:t>Blackpool Borough Council</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3.9</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16.4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4.4</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16.9</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4.9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17.4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 xml:space="preserve"> £697,600 </w:t>
            </w:r>
          </w:p>
        </w:tc>
      </w:tr>
      <w:tr w:rsidR="003606AE"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3606AE" w:rsidRDefault="003606AE" w:rsidP="00D25355">
            <w:pPr>
              <w:spacing w:before="60" w:after="60"/>
              <w:rPr>
                <w:snapToGrid w:val="0"/>
                <w:sz w:val="18"/>
                <w:szCs w:val="18"/>
                <w:lang w:eastAsia="en-US"/>
              </w:rPr>
            </w:pPr>
            <w:r w:rsidRPr="003606AE">
              <w:rPr>
                <w:snapToGrid w:val="0"/>
                <w:sz w:val="18"/>
                <w:szCs w:val="18"/>
                <w:lang w:eastAsia="en-US"/>
              </w:rPr>
              <w:t>Blackpool Coastal Housing</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-0.5</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12.0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-0.5</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12.0</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12.0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9A3AFE" w:rsidRDefault="003606AE" w:rsidP="00D25355">
            <w:pPr>
              <w:spacing w:before="60" w:after="60"/>
              <w:jc w:val="center"/>
              <w:rPr>
                <w:sz w:val="18"/>
                <w:szCs w:val="18"/>
                <w:highlight w:val="yellow"/>
              </w:rPr>
            </w:pPr>
          </w:p>
        </w:tc>
      </w:tr>
      <w:tr w:rsidR="003606AE"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9A3AFE" w:rsidRDefault="003606AE" w:rsidP="00D25355">
            <w:pPr>
              <w:spacing w:before="60" w:after="60"/>
              <w:rPr>
                <w:snapToGrid w:val="0"/>
                <w:sz w:val="18"/>
                <w:szCs w:val="18"/>
                <w:highlight w:val="yellow"/>
                <w:lang w:eastAsia="en-US"/>
              </w:rPr>
            </w:pPr>
            <w:r w:rsidRPr="003606AE">
              <w:rPr>
                <w:snapToGrid w:val="0"/>
                <w:sz w:val="18"/>
                <w:szCs w:val="18"/>
                <w:lang w:eastAsia="en-US"/>
              </w:rPr>
              <w:t>Blackpool Sixth Form College</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-0.5</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12.0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-0.5</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12.0</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12.0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9A3AFE" w:rsidRDefault="003606AE" w:rsidP="00D25355">
            <w:pPr>
              <w:spacing w:before="60" w:after="60"/>
              <w:jc w:val="center"/>
              <w:rPr>
                <w:sz w:val="18"/>
                <w:szCs w:val="18"/>
                <w:highlight w:val="yellow"/>
              </w:rPr>
            </w:pPr>
          </w:p>
        </w:tc>
      </w:tr>
      <w:tr w:rsidR="003606AE"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3606AE" w:rsidRDefault="003606AE" w:rsidP="00D25355">
            <w:pPr>
              <w:spacing w:before="60" w:after="60"/>
              <w:rPr>
                <w:snapToGrid w:val="0"/>
                <w:sz w:val="18"/>
                <w:szCs w:val="18"/>
                <w:lang w:eastAsia="en-US"/>
              </w:rPr>
            </w:pPr>
            <w:r w:rsidRPr="003606AE">
              <w:rPr>
                <w:snapToGrid w:val="0"/>
                <w:sz w:val="18"/>
                <w:szCs w:val="18"/>
                <w:lang w:eastAsia="en-US"/>
              </w:rPr>
              <w:t>Blackpool Transport Services Ltd</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ind w:left="-108"/>
              <w:jc w:val="center"/>
              <w:rPr>
                <w:rFonts w:cs="Arial"/>
                <w:sz w:val="18"/>
                <w:szCs w:val="18"/>
              </w:rPr>
            </w:pPr>
            <w:r>
              <w:rPr>
                <w:rFonts w:cs="Arial"/>
                <w:sz w:val="18"/>
                <w:szCs w:val="18"/>
              </w:rPr>
              <w:t>-12.5</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0.0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-12.5</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0.0</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0.0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9A3AFE" w:rsidRDefault="003606AE" w:rsidP="00D25355">
            <w:pPr>
              <w:spacing w:before="60" w:after="60"/>
              <w:jc w:val="center"/>
              <w:rPr>
                <w:sz w:val="18"/>
                <w:szCs w:val="18"/>
                <w:highlight w:val="yellow"/>
              </w:rPr>
            </w:pPr>
          </w:p>
        </w:tc>
      </w:tr>
      <w:tr w:rsidR="003606AE"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3606AE" w:rsidRDefault="003606AE" w:rsidP="00D25355">
            <w:pPr>
              <w:spacing w:before="60" w:after="60"/>
              <w:rPr>
                <w:snapToGrid w:val="0"/>
                <w:sz w:val="18"/>
                <w:szCs w:val="18"/>
                <w:lang w:eastAsia="en-US"/>
              </w:rPr>
            </w:pPr>
            <w:r w:rsidRPr="003606AE">
              <w:rPr>
                <w:snapToGrid w:val="0"/>
                <w:sz w:val="18"/>
                <w:szCs w:val="18"/>
                <w:lang w:eastAsia="en-US"/>
              </w:rPr>
              <w:t>Blackpool Zoo (Grant Leisure)</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5.5</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18.0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7.1</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19.6</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8.8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21.3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9A3AFE" w:rsidRDefault="003606AE" w:rsidP="00D25355">
            <w:pPr>
              <w:spacing w:before="60" w:after="60"/>
              <w:jc w:val="center"/>
              <w:rPr>
                <w:sz w:val="18"/>
                <w:szCs w:val="18"/>
                <w:highlight w:val="yellow"/>
              </w:rPr>
            </w:pPr>
          </w:p>
        </w:tc>
      </w:tr>
      <w:tr w:rsidR="003606AE"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3606AE" w:rsidRDefault="003606AE" w:rsidP="00D25355">
            <w:pPr>
              <w:spacing w:before="60" w:after="60"/>
              <w:rPr>
                <w:snapToGrid w:val="0"/>
                <w:sz w:val="18"/>
                <w:szCs w:val="18"/>
                <w:lang w:eastAsia="en-US"/>
              </w:rPr>
            </w:pPr>
            <w:r w:rsidRPr="003606AE">
              <w:rPr>
                <w:snapToGrid w:val="0"/>
                <w:sz w:val="18"/>
                <w:szCs w:val="18"/>
                <w:lang w:eastAsia="en-US"/>
              </w:rPr>
              <w:t>Blackpool, Fylde &amp; Wyre Society for the Blind</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29.5</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42.0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32.5</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45.0</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35.5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48.0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9A3AFE" w:rsidRDefault="003606AE" w:rsidP="00D25355">
            <w:pPr>
              <w:spacing w:before="60" w:after="60"/>
              <w:jc w:val="center"/>
              <w:rPr>
                <w:sz w:val="18"/>
                <w:szCs w:val="18"/>
                <w:highlight w:val="yellow"/>
              </w:rPr>
            </w:pPr>
          </w:p>
        </w:tc>
      </w:tr>
      <w:tr w:rsidR="003606AE"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rPr>
                <w:rFonts w:cs="Arial"/>
                <w:sz w:val="18"/>
                <w:szCs w:val="18"/>
              </w:rPr>
            </w:pPr>
            <w:r>
              <w:rPr>
                <w:rFonts w:cs="Arial"/>
                <w:sz w:val="18"/>
                <w:szCs w:val="18"/>
              </w:rPr>
              <w:t>Bootstrap Enterprise Ltd</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0.2</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12.7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0.2</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12.7</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0.2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12.7</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9A3AFE" w:rsidRDefault="003606AE" w:rsidP="00D25355">
            <w:pPr>
              <w:spacing w:before="60" w:after="60"/>
              <w:jc w:val="center"/>
              <w:rPr>
                <w:sz w:val="18"/>
                <w:szCs w:val="18"/>
                <w:highlight w:val="yellow"/>
              </w:rPr>
            </w:pPr>
          </w:p>
        </w:tc>
      </w:tr>
      <w:tr w:rsidR="003606AE"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rPr>
                <w:rFonts w:cs="Arial"/>
                <w:sz w:val="18"/>
                <w:szCs w:val="18"/>
              </w:rPr>
            </w:pPr>
            <w:r>
              <w:rPr>
                <w:rFonts w:cs="Arial"/>
                <w:sz w:val="18"/>
                <w:szCs w:val="18"/>
              </w:rPr>
              <w:t>Bulloughs (Highfield)</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-2.0</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-2.0</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10.5</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-2.0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10.5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rPr>
                <w:rFonts w:cs="Arial"/>
                <w:sz w:val="18"/>
                <w:szCs w:val="18"/>
              </w:rPr>
            </w:pPr>
          </w:p>
        </w:tc>
      </w:tr>
      <w:tr w:rsidR="003606AE"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rPr>
                <w:rFonts w:cs="Arial"/>
                <w:sz w:val="18"/>
                <w:szCs w:val="18"/>
              </w:rPr>
            </w:pPr>
            <w:r>
              <w:rPr>
                <w:rFonts w:cs="Arial"/>
                <w:sz w:val="18"/>
                <w:szCs w:val="18"/>
              </w:rPr>
              <w:t>Bulloughs (St Augustines)</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1.9</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14.4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1.9</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14.4</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14.4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9A3AFE" w:rsidRDefault="003606AE" w:rsidP="00D25355">
            <w:pPr>
              <w:spacing w:before="60" w:after="60"/>
              <w:jc w:val="center"/>
              <w:rPr>
                <w:sz w:val="18"/>
                <w:szCs w:val="18"/>
                <w:highlight w:val="yellow"/>
              </w:rPr>
            </w:pPr>
          </w:p>
        </w:tc>
      </w:tr>
      <w:tr w:rsidR="003606AE" w:rsidRPr="009A3AFE" w:rsidTr="00F6079E">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rPr>
                <w:rFonts w:cs="Arial"/>
                <w:sz w:val="18"/>
                <w:szCs w:val="18"/>
              </w:rPr>
            </w:pPr>
            <w:r>
              <w:rPr>
                <w:rFonts w:cs="Arial"/>
                <w:sz w:val="18"/>
                <w:szCs w:val="18"/>
              </w:rPr>
              <w:t>Bulloughs (St Marys)</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4.0</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16.5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4.0</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16.5</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4.0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16.5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9A3AFE" w:rsidRDefault="003606AE" w:rsidP="00D25355">
            <w:pPr>
              <w:spacing w:before="60" w:after="60"/>
              <w:jc w:val="center"/>
              <w:rPr>
                <w:sz w:val="18"/>
                <w:szCs w:val="18"/>
                <w:highlight w:val="yellow"/>
              </w:rPr>
            </w:pPr>
          </w:p>
        </w:tc>
      </w:tr>
      <w:tr w:rsidR="00B51B16" w:rsidRPr="009A3AFE" w:rsidTr="00F6079E">
        <w:trPr>
          <w:cantSplit/>
          <w:trHeight w:val="397"/>
        </w:trPr>
        <w:tc>
          <w:tcPr>
            <w:tcW w:w="3168" w:type="dxa"/>
            <w:tcBorders>
              <w:top w:val="single" w:sz="4" w:space="0" w:color="auto"/>
              <w:left w:val="single" w:sz="4" w:space="0" w:color="auto"/>
              <w:right w:val="single" w:sz="4" w:space="0" w:color="auto"/>
            </w:tcBorders>
            <w:shd w:val="clear" w:color="auto" w:fill="F3F3F3"/>
          </w:tcPr>
          <w:p w:rsidR="00B51B16" w:rsidRPr="009A3AFE" w:rsidRDefault="00B51B16" w:rsidP="003606AE">
            <w:pPr>
              <w:rPr>
                <w:b/>
                <w:sz w:val="18"/>
                <w:highlight w:val="yellow"/>
              </w:rPr>
            </w:pPr>
          </w:p>
        </w:tc>
        <w:tc>
          <w:tcPr>
            <w:tcW w:w="1766" w:type="dxa"/>
            <w:gridSpan w:val="3"/>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A92013" w:rsidRDefault="00B51B16" w:rsidP="00B51B16">
            <w:pPr>
              <w:ind w:left="-108"/>
              <w:jc w:val="center"/>
              <w:rPr>
                <w:b/>
                <w:color w:val="000000"/>
                <w:sz w:val="18"/>
              </w:rPr>
            </w:pPr>
            <w:r w:rsidRPr="00A92013">
              <w:rPr>
                <w:b/>
                <w:color w:val="000000"/>
                <w:sz w:val="18"/>
              </w:rPr>
              <w:t>2011/12</w:t>
            </w:r>
          </w:p>
        </w:tc>
        <w:tc>
          <w:tcPr>
            <w:tcW w:w="1778"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A92013" w:rsidRDefault="00B51B16" w:rsidP="00B51B16">
            <w:pPr>
              <w:jc w:val="center"/>
              <w:rPr>
                <w:b/>
                <w:sz w:val="18"/>
              </w:rPr>
            </w:pPr>
            <w:r w:rsidRPr="00A92013">
              <w:rPr>
                <w:b/>
                <w:color w:val="000000"/>
                <w:sz w:val="18"/>
              </w:rPr>
              <w:t>2012/13</w:t>
            </w:r>
          </w:p>
        </w:tc>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A92013" w:rsidRDefault="00B51B16" w:rsidP="00B51B16">
            <w:pPr>
              <w:jc w:val="center"/>
              <w:rPr>
                <w:b/>
                <w:sz w:val="18"/>
              </w:rPr>
            </w:pPr>
            <w:r w:rsidRPr="00A92013">
              <w:rPr>
                <w:b/>
                <w:color w:val="000000"/>
                <w:sz w:val="18"/>
                <w:szCs w:val="18"/>
              </w:rPr>
              <w:t>2013/14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A92013" w:rsidRDefault="00B51B16" w:rsidP="00B51B16">
            <w:pPr>
              <w:jc w:val="center"/>
              <w:rPr>
                <w:sz w:val="14"/>
                <w:szCs w:val="14"/>
              </w:rPr>
            </w:pPr>
            <w:r w:rsidRPr="00A92013">
              <w:rPr>
                <w:b/>
                <w:color w:val="000000"/>
                <w:sz w:val="18"/>
                <w:szCs w:val="18"/>
              </w:rPr>
              <w:t>Non-ill health early retirement allowance included for the 3 years 2011/14</w:t>
            </w:r>
          </w:p>
        </w:tc>
      </w:tr>
      <w:tr w:rsidR="00B51B16" w:rsidRPr="009A3AFE" w:rsidTr="00F6079E">
        <w:trPr>
          <w:cantSplit/>
          <w:trHeight w:val="397"/>
        </w:trPr>
        <w:tc>
          <w:tcPr>
            <w:tcW w:w="3168" w:type="dxa"/>
            <w:tcBorders>
              <w:left w:val="single" w:sz="4" w:space="0" w:color="auto"/>
              <w:bottom w:val="single" w:sz="4" w:space="0" w:color="auto"/>
              <w:right w:val="single" w:sz="4" w:space="0" w:color="auto"/>
            </w:tcBorders>
            <w:shd w:val="clear" w:color="auto" w:fill="F3F3F3"/>
            <w:vAlign w:val="center"/>
          </w:tcPr>
          <w:p w:rsidR="00B51B16" w:rsidRPr="009A3AFE" w:rsidRDefault="009227D1" w:rsidP="003606AE">
            <w:pPr>
              <w:rPr>
                <w:b/>
                <w:sz w:val="18"/>
                <w:highlight w:val="yellow"/>
              </w:rPr>
            </w:pPr>
            <w:r w:rsidRPr="009227D1">
              <w:rPr>
                <w:b/>
                <w:sz w:val="18"/>
              </w:rPr>
              <w:t>Employers</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3606AE">
            <w:pPr>
              <w:jc w:val="center"/>
              <w:rPr>
                <w:b/>
                <w:sz w:val="14"/>
              </w:rPr>
            </w:pPr>
            <w:r w:rsidRPr="00A92013">
              <w:rPr>
                <w:b/>
                <w:sz w:val="14"/>
              </w:rPr>
              <w:t>Individual Adjust-ment)</w:t>
            </w:r>
          </w:p>
          <w:p w:rsidR="00B51B16" w:rsidRPr="00A92013" w:rsidRDefault="00B51B16" w:rsidP="003606AE">
            <w:pPr>
              <w:jc w:val="center"/>
              <w:rPr>
                <w:b/>
                <w:sz w:val="14"/>
              </w:rPr>
            </w:pPr>
            <w:r>
              <w:rPr>
                <w:b/>
                <w:sz w:val="14"/>
              </w:rPr>
              <w:t>%</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3606AE">
            <w:pPr>
              <w:jc w:val="center"/>
              <w:rPr>
                <w:b/>
                <w:sz w:val="14"/>
              </w:rPr>
            </w:pPr>
            <w:r w:rsidRPr="00A92013">
              <w:rPr>
                <w:b/>
                <w:sz w:val="14"/>
              </w:rPr>
              <w:t xml:space="preserve">Total Contribu-tion Rate </w:t>
            </w:r>
          </w:p>
          <w:p w:rsidR="00B51B16" w:rsidRPr="00A92013" w:rsidRDefault="00B51B16" w:rsidP="003606AE">
            <w:pPr>
              <w:jc w:val="center"/>
              <w:rPr>
                <w:b/>
                <w:sz w:val="14"/>
              </w:rPr>
            </w:pP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A92013" w:rsidRDefault="00B51B16" w:rsidP="003606AE">
            <w:pPr>
              <w:jc w:val="center"/>
              <w:rPr>
                <w:b/>
                <w:sz w:val="14"/>
              </w:rPr>
            </w:pPr>
            <w:r w:rsidRPr="00A92013">
              <w:rPr>
                <w:b/>
                <w:sz w:val="14"/>
              </w:rPr>
              <w:t>Individual Adjust-ment</w:t>
            </w:r>
            <w:r w:rsidRPr="00A92013">
              <w:rPr>
                <w:b/>
                <w:sz w:val="14"/>
              </w:rPr>
              <w:br/>
            </w:r>
            <w:r>
              <w:rPr>
                <w:b/>
                <w:sz w:val="14"/>
              </w:rPr>
              <w:t>%</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jc w:val="center"/>
              <w:rPr>
                <w:b/>
                <w:sz w:val="14"/>
              </w:rPr>
            </w:pPr>
            <w:r w:rsidRPr="00A92013">
              <w:rPr>
                <w:b/>
                <w:sz w:val="14"/>
              </w:rPr>
              <w:t>Total Contribu-tion Rate</w:t>
            </w:r>
          </w:p>
          <w:p w:rsidR="00B51B16" w:rsidRPr="00A92013" w:rsidRDefault="00B51B16" w:rsidP="00B51B16">
            <w:pPr>
              <w:jc w:val="center"/>
              <w:rPr>
                <w:b/>
                <w:sz w:val="14"/>
              </w:rPr>
            </w:pPr>
            <w:r>
              <w:rPr>
                <w:b/>
                <w:sz w:val="14"/>
              </w:rPr>
              <w:t>%</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A92013" w:rsidRDefault="00B51B16" w:rsidP="003606AE">
            <w:pPr>
              <w:jc w:val="center"/>
              <w:rPr>
                <w:b/>
                <w:sz w:val="14"/>
              </w:rPr>
            </w:pPr>
            <w:r w:rsidRPr="00A92013">
              <w:rPr>
                <w:b/>
                <w:sz w:val="14"/>
              </w:rPr>
              <w:t>Individual Adjust-ment</w:t>
            </w:r>
            <w:r w:rsidRPr="00A92013">
              <w:rPr>
                <w:b/>
                <w:sz w:val="14"/>
              </w:rPr>
              <w:br/>
            </w: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B51B16" w:rsidRDefault="00B51B16" w:rsidP="003606AE">
            <w:pPr>
              <w:jc w:val="center"/>
              <w:rPr>
                <w:b/>
                <w:sz w:val="14"/>
              </w:rPr>
            </w:pPr>
            <w:r w:rsidRPr="00B51B16">
              <w:rPr>
                <w:b/>
                <w:sz w:val="14"/>
              </w:rPr>
              <w:t>Total Contribu-tion Rate</w:t>
            </w:r>
          </w:p>
          <w:p w:rsidR="00B51B16" w:rsidRPr="00B51B16" w:rsidRDefault="00B51B16" w:rsidP="003606AE">
            <w:pPr>
              <w:jc w:val="center"/>
              <w:rPr>
                <w:b/>
                <w:sz w:val="14"/>
              </w:rPr>
            </w:pPr>
            <w:r w:rsidRPr="00B51B16">
              <w:rPr>
                <w:b/>
                <w:sz w:val="14"/>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9227D1" w:rsidRDefault="00B51B16" w:rsidP="003606AE">
            <w:pPr>
              <w:jc w:val="center"/>
              <w:rPr>
                <w:b/>
                <w:sz w:val="14"/>
                <w:szCs w:val="14"/>
              </w:rPr>
            </w:pPr>
            <w:r w:rsidRPr="009227D1">
              <w:rPr>
                <w:b/>
                <w:sz w:val="14"/>
                <w:szCs w:val="14"/>
              </w:rPr>
              <w:t>Amount</w:t>
            </w:r>
            <w:r w:rsidRPr="009227D1">
              <w:rPr>
                <w:b/>
                <w:sz w:val="14"/>
                <w:szCs w:val="14"/>
              </w:rPr>
              <w:br/>
              <w:t>£</w:t>
            </w:r>
          </w:p>
        </w:tc>
      </w:tr>
      <w:tr w:rsidR="00B51B16" w:rsidRPr="009A3AFE" w:rsidTr="00F6079E">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3606AE" w:rsidRDefault="00B51B16" w:rsidP="00D25355">
            <w:pPr>
              <w:spacing w:before="60" w:after="60"/>
              <w:rPr>
                <w:snapToGrid w:val="0"/>
                <w:sz w:val="18"/>
                <w:szCs w:val="18"/>
                <w:lang w:eastAsia="en-US"/>
              </w:rPr>
            </w:pPr>
            <w:r w:rsidRPr="003606AE">
              <w:rPr>
                <w:snapToGrid w:val="0"/>
                <w:sz w:val="18"/>
                <w:szCs w:val="18"/>
                <w:lang w:eastAsia="en-US"/>
              </w:rPr>
              <w:t>Burnley Borough Council</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3606AE">
            <w:pPr>
              <w:autoSpaceDE w:val="0"/>
              <w:autoSpaceDN w:val="0"/>
              <w:adjustRightInd w:val="0"/>
              <w:jc w:val="center"/>
              <w:rPr>
                <w:rFonts w:cs="Arial"/>
                <w:sz w:val="18"/>
                <w:szCs w:val="18"/>
              </w:rPr>
            </w:pPr>
            <w:r>
              <w:rPr>
                <w:rFonts w:cs="Arial"/>
                <w:sz w:val="18"/>
                <w:szCs w:val="18"/>
              </w:rPr>
              <w:t>12.5</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3606AE">
            <w:pPr>
              <w:autoSpaceDE w:val="0"/>
              <w:autoSpaceDN w:val="0"/>
              <w:adjustRightInd w:val="0"/>
              <w:jc w:val="center"/>
              <w:rPr>
                <w:rFonts w:cs="Arial"/>
                <w:sz w:val="18"/>
                <w:szCs w:val="18"/>
              </w:rPr>
            </w:pPr>
            <w:r>
              <w:rPr>
                <w:rFonts w:cs="Arial"/>
                <w:sz w:val="18"/>
                <w:szCs w:val="18"/>
              </w:rPr>
              <w:t>25.0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3606AE">
            <w:pPr>
              <w:autoSpaceDE w:val="0"/>
              <w:autoSpaceDN w:val="0"/>
              <w:adjustRightInd w:val="0"/>
              <w:jc w:val="center"/>
              <w:rPr>
                <w:rFonts w:cs="Arial"/>
                <w:sz w:val="18"/>
                <w:szCs w:val="18"/>
              </w:rPr>
            </w:pPr>
            <w:r>
              <w:rPr>
                <w:rFonts w:cs="Arial"/>
                <w:sz w:val="18"/>
                <w:szCs w:val="18"/>
              </w:rPr>
              <w:t>12.5</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3606AE">
            <w:pPr>
              <w:autoSpaceDE w:val="0"/>
              <w:autoSpaceDN w:val="0"/>
              <w:adjustRightInd w:val="0"/>
              <w:jc w:val="center"/>
              <w:rPr>
                <w:rFonts w:cs="Arial"/>
                <w:sz w:val="18"/>
                <w:szCs w:val="18"/>
              </w:rPr>
            </w:pPr>
            <w:r>
              <w:rPr>
                <w:rFonts w:cs="Arial"/>
                <w:sz w:val="18"/>
                <w:szCs w:val="18"/>
              </w:rPr>
              <w:t>25.0</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3606AE">
            <w:pPr>
              <w:autoSpaceDE w:val="0"/>
              <w:autoSpaceDN w:val="0"/>
              <w:adjustRightInd w:val="0"/>
              <w:jc w:val="center"/>
              <w:rPr>
                <w:rFonts w:cs="Arial"/>
                <w:sz w:val="18"/>
                <w:szCs w:val="18"/>
              </w:rPr>
            </w:pPr>
            <w:r>
              <w:rPr>
                <w:rFonts w:cs="Arial"/>
                <w:sz w:val="18"/>
                <w:szCs w:val="18"/>
              </w:rPr>
              <w:t>12.5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3606AE">
            <w:pPr>
              <w:autoSpaceDE w:val="0"/>
              <w:autoSpaceDN w:val="0"/>
              <w:adjustRightInd w:val="0"/>
              <w:jc w:val="center"/>
              <w:rPr>
                <w:rFonts w:cs="Arial"/>
                <w:sz w:val="18"/>
                <w:szCs w:val="18"/>
              </w:rPr>
            </w:pPr>
            <w:r>
              <w:rPr>
                <w:rFonts w:cs="Arial"/>
                <w:sz w:val="18"/>
                <w:szCs w:val="18"/>
              </w:rPr>
              <w:t>25.0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9A3AFE" w:rsidRDefault="00B51B16" w:rsidP="00D25355">
            <w:pPr>
              <w:spacing w:before="60" w:after="60"/>
              <w:jc w:val="center"/>
              <w:rPr>
                <w:sz w:val="18"/>
                <w:szCs w:val="18"/>
                <w:highlight w:val="yellow"/>
              </w:rPr>
            </w:pPr>
          </w:p>
        </w:tc>
      </w:tr>
      <w:tr w:rsidR="00B51B16"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B51B16" w:rsidRDefault="00B51B16" w:rsidP="00D25355">
            <w:pPr>
              <w:spacing w:before="60" w:after="60"/>
              <w:rPr>
                <w:snapToGrid w:val="0"/>
                <w:sz w:val="18"/>
                <w:szCs w:val="18"/>
                <w:lang w:eastAsia="en-US"/>
              </w:rPr>
            </w:pPr>
            <w:r w:rsidRPr="00B51B16">
              <w:rPr>
                <w:snapToGrid w:val="0"/>
                <w:sz w:val="18"/>
                <w:szCs w:val="18"/>
                <w:lang w:eastAsia="en-US"/>
              </w:rPr>
              <w:t>Burnley College</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2.3</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14.8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2.3</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14.8</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2.3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14.8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9A3AFE" w:rsidRDefault="00B51B16" w:rsidP="00D25355">
            <w:pPr>
              <w:spacing w:before="60" w:after="60"/>
              <w:jc w:val="center"/>
              <w:rPr>
                <w:sz w:val="18"/>
                <w:szCs w:val="18"/>
                <w:highlight w:val="yellow"/>
              </w:rPr>
            </w:pPr>
          </w:p>
        </w:tc>
      </w:tr>
      <w:tr w:rsidR="00B51B16"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9A3AFE" w:rsidRDefault="00B51B16" w:rsidP="00D25355">
            <w:pPr>
              <w:spacing w:before="60" w:after="60"/>
              <w:rPr>
                <w:snapToGrid w:val="0"/>
                <w:sz w:val="18"/>
                <w:szCs w:val="18"/>
                <w:highlight w:val="yellow"/>
                <w:lang w:eastAsia="en-US"/>
              </w:rPr>
            </w:pPr>
            <w:r w:rsidRPr="00B51B16">
              <w:rPr>
                <w:snapToGrid w:val="0"/>
                <w:sz w:val="18"/>
                <w:szCs w:val="18"/>
                <w:lang w:eastAsia="en-US"/>
              </w:rPr>
              <w:t>Calico Housing Ltd</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6.8</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19.3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6.8</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19.3</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6.8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19.3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9A3AFE" w:rsidRDefault="00B51B16" w:rsidP="00D25355">
            <w:pPr>
              <w:spacing w:before="60" w:after="60"/>
              <w:jc w:val="center"/>
              <w:rPr>
                <w:sz w:val="18"/>
                <w:szCs w:val="18"/>
                <w:highlight w:val="yellow"/>
              </w:rPr>
            </w:pPr>
          </w:p>
        </w:tc>
      </w:tr>
      <w:tr w:rsidR="00B51B16"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B51B16" w:rsidRDefault="00B51B16" w:rsidP="00D25355">
            <w:pPr>
              <w:spacing w:before="60" w:after="60"/>
              <w:rPr>
                <w:snapToGrid w:val="0"/>
                <w:sz w:val="18"/>
                <w:szCs w:val="18"/>
                <w:lang w:eastAsia="en-US"/>
              </w:rPr>
            </w:pPr>
            <w:r w:rsidRPr="00B51B16">
              <w:rPr>
                <w:snapToGrid w:val="0"/>
                <w:sz w:val="18"/>
                <w:szCs w:val="18"/>
                <w:lang w:eastAsia="en-US"/>
              </w:rPr>
              <w:t>CAPITA</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12.2</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24.7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14.1</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26.6</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16.0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28.5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9A3AFE" w:rsidRDefault="00B51B16" w:rsidP="00D25355">
            <w:pPr>
              <w:spacing w:before="60" w:after="60"/>
              <w:jc w:val="center"/>
              <w:rPr>
                <w:sz w:val="18"/>
                <w:szCs w:val="18"/>
                <w:highlight w:val="yellow"/>
              </w:rPr>
            </w:pPr>
          </w:p>
        </w:tc>
      </w:tr>
      <w:tr w:rsidR="00B51B16"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rPr>
                <w:rFonts w:cs="Arial"/>
                <w:sz w:val="18"/>
                <w:szCs w:val="18"/>
              </w:rPr>
            </w:pPr>
            <w:r>
              <w:rPr>
                <w:rFonts w:cs="Arial"/>
                <w:sz w:val="18"/>
                <w:szCs w:val="18"/>
              </w:rPr>
              <w:t>Capita (</w:t>
            </w:r>
            <w:smartTag w:uri="urn:schemas-microsoft-com:office:smarttags" w:element="place">
              <w:smartTag w:uri="urn:schemas-microsoft-com:office:smarttags" w:element="City">
                <w:r>
                  <w:rPr>
                    <w:rFonts w:cs="Arial"/>
                    <w:sz w:val="18"/>
                    <w:szCs w:val="18"/>
                  </w:rPr>
                  <w:t>Rossendale</w:t>
                </w:r>
              </w:smartTag>
              <w:r>
                <w:rPr>
                  <w:rFonts w:cs="Arial"/>
                  <w:sz w:val="18"/>
                  <w:szCs w:val="18"/>
                </w:rPr>
                <w:t xml:space="preserve"> </w:t>
              </w:r>
              <w:smartTag w:uri="urn:schemas-microsoft-com:office:smarttags" w:element="State">
                <w:r>
                  <w:rPr>
                    <w:rFonts w:cs="Arial"/>
                    <w:sz w:val="18"/>
                    <w:szCs w:val="18"/>
                  </w:rPr>
                  <w:t>BC</w:t>
                </w:r>
              </w:smartTag>
            </w:smartTag>
            <w:r>
              <w:rPr>
                <w:rFonts w:cs="Arial"/>
                <w:sz w:val="18"/>
                <w:szCs w:val="18"/>
              </w:rPr>
              <w:t>)</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3.1</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15.6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4.6</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17.1</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6.0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18.5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9A3AFE" w:rsidRDefault="00B51B16" w:rsidP="00D25355">
            <w:pPr>
              <w:spacing w:before="60" w:after="60"/>
              <w:jc w:val="center"/>
              <w:rPr>
                <w:sz w:val="18"/>
                <w:szCs w:val="18"/>
                <w:highlight w:val="yellow"/>
              </w:rPr>
            </w:pPr>
          </w:p>
        </w:tc>
      </w:tr>
      <w:tr w:rsidR="00B51B16"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B51B16" w:rsidRDefault="00B51B16" w:rsidP="00D25355">
            <w:pPr>
              <w:spacing w:before="60" w:after="60"/>
              <w:rPr>
                <w:snapToGrid w:val="0"/>
                <w:sz w:val="18"/>
                <w:szCs w:val="18"/>
                <w:lang w:eastAsia="en-US"/>
              </w:rPr>
            </w:pPr>
            <w:r w:rsidRPr="00B51B16">
              <w:rPr>
                <w:snapToGrid w:val="0"/>
                <w:sz w:val="18"/>
                <w:szCs w:val="18"/>
                <w:lang w:eastAsia="en-US"/>
              </w:rPr>
              <w:t>Cardinal Newman College</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3.3</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15.8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3.3</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15.8</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3.3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15.8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9A3AFE" w:rsidRDefault="00B51B16" w:rsidP="00D25355">
            <w:pPr>
              <w:spacing w:before="60" w:after="60"/>
              <w:jc w:val="center"/>
              <w:rPr>
                <w:sz w:val="18"/>
                <w:szCs w:val="18"/>
                <w:highlight w:val="yellow"/>
              </w:rPr>
            </w:pPr>
          </w:p>
        </w:tc>
      </w:tr>
      <w:tr w:rsidR="00B51B16"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rPr>
                <w:rFonts w:cs="Arial"/>
                <w:sz w:val="18"/>
                <w:szCs w:val="18"/>
              </w:rPr>
            </w:pPr>
            <w:r>
              <w:rPr>
                <w:rFonts w:cs="Arial"/>
                <w:sz w:val="18"/>
                <w:szCs w:val="18"/>
              </w:rPr>
              <w:t>Caritas Care Ltd (was Catholic Caring Services)</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6.2</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18.7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6.2</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18.7</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6.2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18.7</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9A3AFE" w:rsidRDefault="00B51B16" w:rsidP="00D25355">
            <w:pPr>
              <w:spacing w:before="60" w:after="60"/>
              <w:jc w:val="center"/>
              <w:rPr>
                <w:sz w:val="18"/>
                <w:szCs w:val="18"/>
                <w:highlight w:val="yellow"/>
              </w:rPr>
            </w:pPr>
          </w:p>
        </w:tc>
      </w:tr>
      <w:tr w:rsidR="00B51B16"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5A09E8" w:rsidRDefault="00B51B16" w:rsidP="005A09E8">
            <w:pPr>
              <w:rPr>
                <w:rFonts w:cs="Arial"/>
                <w:sz w:val="18"/>
                <w:szCs w:val="18"/>
              </w:rPr>
            </w:pPr>
            <w:r w:rsidRPr="005A09E8">
              <w:rPr>
                <w:rFonts w:cs="Arial"/>
                <w:sz w:val="18"/>
                <w:szCs w:val="18"/>
              </w:rPr>
              <w:t>Catterall Parish Council</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5A09E8">
            <w:pPr>
              <w:autoSpaceDE w:val="0"/>
              <w:autoSpaceDN w:val="0"/>
              <w:adjustRightInd w:val="0"/>
              <w:jc w:val="center"/>
              <w:rPr>
                <w:rFonts w:cs="Arial"/>
                <w:sz w:val="18"/>
                <w:szCs w:val="18"/>
              </w:rPr>
            </w:pPr>
            <w:r>
              <w:rPr>
                <w:rFonts w:cs="Arial"/>
                <w:sz w:val="18"/>
                <w:szCs w:val="18"/>
              </w:rPr>
              <w:t>2.3</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5A09E8">
            <w:pPr>
              <w:autoSpaceDE w:val="0"/>
              <w:autoSpaceDN w:val="0"/>
              <w:adjustRightInd w:val="0"/>
              <w:jc w:val="center"/>
              <w:rPr>
                <w:rFonts w:cs="Arial"/>
                <w:sz w:val="18"/>
                <w:szCs w:val="18"/>
              </w:rPr>
            </w:pPr>
            <w:r>
              <w:rPr>
                <w:rFonts w:cs="Arial"/>
                <w:sz w:val="18"/>
                <w:szCs w:val="18"/>
              </w:rPr>
              <w:t>14.8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5A09E8">
            <w:pPr>
              <w:autoSpaceDE w:val="0"/>
              <w:autoSpaceDN w:val="0"/>
              <w:adjustRightInd w:val="0"/>
              <w:jc w:val="center"/>
              <w:rPr>
                <w:rFonts w:cs="Arial"/>
                <w:sz w:val="18"/>
                <w:szCs w:val="18"/>
              </w:rPr>
            </w:pPr>
            <w:r>
              <w:rPr>
                <w:rFonts w:cs="Arial"/>
                <w:sz w:val="18"/>
                <w:szCs w:val="18"/>
              </w:rPr>
              <w:t>2.3</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5A09E8">
            <w:pPr>
              <w:autoSpaceDE w:val="0"/>
              <w:autoSpaceDN w:val="0"/>
              <w:adjustRightInd w:val="0"/>
              <w:jc w:val="center"/>
              <w:rPr>
                <w:rFonts w:cs="Arial"/>
                <w:sz w:val="18"/>
                <w:szCs w:val="18"/>
              </w:rPr>
            </w:pPr>
            <w:r>
              <w:rPr>
                <w:rFonts w:cs="Arial"/>
                <w:sz w:val="18"/>
                <w:szCs w:val="18"/>
              </w:rPr>
              <w:t>14.8</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5A09E8">
            <w:pPr>
              <w:autoSpaceDE w:val="0"/>
              <w:autoSpaceDN w:val="0"/>
              <w:adjustRightInd w:val="0"/>
              <w:jc w:val="center"/>
              <w:rPr>
                <w:rFonts w:cs="Arial"/>
                <w:sz w:val="18"/>
                <w:szCs w:val="18"/>
              </w:rPr>
            </w:pPr>
            <w:r>
              <w:rPr>
                <w:rFonts w:cs="Arial"/>
                <w:sz w:val="18"/>
                <w:szCs w:val="18"/>
              </w:rPr>
              <w:t>2.3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5A09E8">
            <w:pPr>
              <w:autoSpaceDE w:val="0"/>
              <w:autoSpaceDN w:val="0"/>
              <w:adjustRightInd w:val="0"/>
              <w:jc w:val="center"/>
              <w:rPr>
                <w:rFonts w:cs="Arial"/>
                <w:sz w:val="18"/>
                <w:szCs w:val="18"/>
              </w:rPr>
            </w:pPr>
            <w:r>
              <w:rPr>
                <w:rFonts w:cs="Arial"/>
                <w:sz w:val="18"/>
                <w:szCs w:val="18"/>
              </w:rPr>
              <w:t>14.8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5A09E8" w:rsidRDefault="00B51B16" w:rsidP="005A09E8">
            <w:pPr>
              <w:jc w:val="center"/>
              <w:rPr>
                <w:rFonts w:cs="Arial"/>
                <w:sz w:val="18"/>
                <w:szCs w:val="18"/>
              </w:rPr>
            </w:pPr>
          </w:p>
        </w:tc>
      </w:tr>
      <w:tr w:rsidR="005A09E8"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5A09E8" w:rsidRDefault="005A09E8" w:rsidP="005A09E8">
            <w:pPr>
              <w:rPr>
                <w:rFonts w:cs="Arial"/>
                <w:sz w:val="18"/>
                <w:szCs w:val="18"/>
              </w:rPr>
            </w:pPr>
            <w:r w:rsidRPr="005A09E8">
              <w:rPr>
                <w:rFonts w:cs="Arial"/>
                <w:sz w:val="18"/>
                <w:szCs w:val="18"/>
              </w:rPr>
              <w:t>Chorley Borough Council</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6.8</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19.3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7.3</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19.8</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7.8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20.3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5A09E8" w:rsidRDefault="005A09E8" w:rsidP="005A09E8">
            <w:pPr>
              <w:jc w:val="center"/>
              <w:rPr>
                <w:rFonts w:cs="Arial"/>
                <w:sz w:val="18"/>
                <w:szCs w:val="18"/>
              </w:rPr>
            </w:pPr>
          </w:p>
        </w:tc>
      </w:tr>
      <w:tr w:rsidR="005A09E8"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5A09E8" w:rsidRDefault="005A09E8" w:rsidP="005A09E8">
            <w:pPr>
              <w:rPr>
                <w:rFonts w:cs="Arial"/>
                <w:sz w:val="18"/>
                <w:szCs w:val="18"/>
              </w:rPr>
            </w:pPr>
            <w:r w:rsidRPr="005A09E8">
              <w:rPr>
                <w:rFonts w:cs="Arial"/>
                <w:sz w:val="18"/>
                <w:szCs w:val="18"/>
              </w:rPr>
              <w:t>Chorley Community Housing</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1.6</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1.6</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14.1</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14.1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5A09E8" w:rsidRDefault="005A09E8" w:rsidP="005A09E8">
            <w:pPr>
              <w:jc w:val="center"/>
              <w:rPr>
                <w:rFonts w:cs="Arial"/>
                <w:sz w:val="18"/>
                <w:szCs w:val="18"/>
              </w:rPr>
            </w:pPr>
          </w:p>
        </w:tc>
      </w:tr>
      <w:tr w:rsidR="005A09E8"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5A09E8" w:rsidRDefault="005A09E8" w:rsidP="005A09E8">
            <w:pPr>
              <w:rPr>
                <w:rFonts w:cs="Arial"/>
                <w:sz w:val="18"/>
                <w:szCs w:val="18"/>
                <w:highlight w:val="yellow"/>
              </w:rPr>
            </w:pPr>
            <w:r w:rsidRPr="005A09E8">
              <w:rPr>
                <w:rFonts w:cs="Arial"/>
                <w:sz w:val="18"/>
                <w:szCs w:val="18"/>
              </w:rPr>
              <w:t>Church Road Methodist Day Centre</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6.7</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19.2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7.0</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19.5</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7.3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19.8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5A09E8" w:rsidRDefault="005A09E8" w:rsidP="005A09E8">
            <w:pPr>
              <w:jc w:val="center"/>
              <w:rPr>
                <w:rFonts w:cs="Arial"/>
                <w:sz w:val="18"/>
                <w:szCs w:val="18"/>
              </w:rPr>
            </w:pPr>
          </w:p>
        </w:tc>
      </w:tr>
      <w:tr w:rsidR="005A09E8"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5A09E8" w:rsidRDefault="005A09E8" w:rsidP="005A09E8">
            <w:pPr>
              <w:rPr>
                <w:rFonts w:cs="Arial"/>
                <w:sz w:val="18"/>
                <w:szCs w:val="18"/>
              </w:rPr>
            </w:pPr>
            <w:r w:rsidRPr="005A09E8">
              <w:rPr>
                <w:rFonts w:cs="Arial"/>
                <w:sz w:val="18"/>
                <w:szCs w:val="18"/>
              </w:rPr>
              <w:t>Commission for Education &amp; Formation</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8.0</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20.5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8.0</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20.5</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8.0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20.5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5A09E8" w:rsidRDefault="005A09E8" w:rsidP="005A09E8">
            <w:pPr>
              <w:jc w:val="center"/>
              <w:rPr>
                <w:rFonts w:cs="Arial"/>
                <w:sz w:val="18"/>
                <w:szCs w:val="18"/>
              </w:rPr>
            </w:pPr>
          </w:p>
        </w:tc>
      </w:tr>
      <w:tr w:rsidR="005A09E8"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5A09E8" w:rsidRDefault="005A09E8" w:rsidP="005A09E8">
            <w:pPr>
              <w:spacing w:before="60" w:after="60"/>
              <w:rPr>
                <w:snapToGrid w:val="0"/>
                <w:sz w:val="18"/>
                <w:szCs w:val="18"/>
                <w:lang w:eastAsia="en-US"/>
              </w:rPr>
            </w:pPr>
            <w:r w:rsidRPr="005A09E8">
              <w:rPr>
                <w:snapToGrid w:val="0"/>
                <w:sz w:val="18"/>
                <w:szCs w:val="18"/>
                <w:lang w:eastAsia="en-US"/>
              </w:rPr>
              <w:t>Community Council of Lancashire</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8.3</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20.8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8.3</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20.8</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8.3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20.8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9A3AFE" w:rsidRDefault="005A09E8" w:rsidP="005A09E8">
            <w:pPr>
              <w:spacing w:before="60" w:after="60"/>
              <w:jc w:val="center"/>
              <w:rPr>
                <w:sz w:val="18"/>
                <w:szCs w:val="18"/>
                <w:highlight w:val="yellow"/>
              </w:rPr>
            </w:pPr>
          </w:p>
        </w:tc>
      </w:tr>
      <w:tr w:rsidR="005A09E8"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5A09E8" w:rsidRDefault="005A09E8" w:rsidP="005A09E8">
            <w:pPr>
              <w:spacing w:before="60" w:after="60"/>
              <w:rPr>
                <w:snapToGrid w:val="0"/>
                <w:sz w:val="18"/>
                <w:szCs w:val="18"/>
                <w:lang w:eastAsia="en-US"/>
              </w:rPr>
            </w:pPr>
            <w:r w:rsidRPr="005A09E8">
              <w:rPr>
                <w:snapToGrid w:val="0"/>
                <w:sz w:val="18"/>
                <w:szCs w:val="18"/>
                <w:lang w:eastAsia="en-US"/>
              </w:rPr>
              <w:t>Community Gateway Association Ltd</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1.7</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14.2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2.4</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14.9</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3.0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15.5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9A3AFE" w:rsidRDefault="005A09E8" w:rsidP="005A09E8">
            <w:pPr>
              <w:spacing w:before="60" w:after="60"/>
              <w:jc w:val="center"/>
              <w:rPr>
                <w:sz w:val="18"/>
                <w:szCs w:val="18"/>
                <w:highlight w:val="yellow"/>
              </w:rPr>
            </w:pPr>
          </w:p>
        </w:tc>
      </w:tr>
      <w:tr w:rsidR="005A09E8"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rPr>
                <w:rFonts w:cs="Arial"/>
                <w:sz w:val="18"/>
                <w:szCs w:val="18"/>
              </w:rPr>
            </w:pPr>
            <w:r>
              <w:rPr>
                <w:rFonts w:cs="Arial"/>
                <w:sz w:val="18"/>
                <w:szCs w:val="18"/>
              </w:rPr>
              <w:t>Connaught Environmental (</w:t>
            </w:r>
            <w:smartTag w:uri="urn:schemas-microsoft-com:office:smarttags" w:element="place">
              <w:smartTag w:uri="urn:schemas-microsoft-com:office:smarttags" w:element="City">
                <w:r>
                  <w:rPr>
                    <w:rFonts w:cs="Arial"/>
                    <w:sz w:val="18"/>
                    <w:szCs w:val="18"/>
                  </w:rPr>
                  <w:t>Blackpool</w:t>
                </w:r>
              </w:smartTag>
              <w:r>
                <w:rPr>
                  <w:rFonts w:cs="Arial"/>
                  <w:sz w:val="18"/>
                  <w:szCs w:val="18"/>
                </w:rPr>
                <w:t xml:space="preserve"> </w:t>
              </w:r>
              <w:smartTag w:uri="urn:schemas-microsoft-com:office:smarttags" w:element="State">
                <w:r>
                  <w:rPr>
                    <w:rFonts w:cs="Arial"/>
                    <w:sz w:val="18"/>
                    <w:szCs w:val="18"/>
                  </w:rPr>
                  <w:t>BC</w:t>
                </w:r>
              </w:smartTag>
            </w:smartTag>
            <w:r>
              <w:rPr>
                <w:rFonts w:cs="Arial"/>
                <w:sz w:val="18"/>
                <w:szCs w:val="18"/>
              </w:rPr>
              <w:t>)</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-3.9</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8.6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-3.9</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8.6</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8.6</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9A3AFE" w:rsidRDefault="005A09E8" w:rsidP="005A09E8">
            <w:pPr>
              <w:spacing w:before="60" w:after="60"/>
              <w:jc w:val="center"/>
              <w:rPr>
                <w:sz w:val="18"/>
                <w:szCs w:val="18"/>
                <w:highlight w:val="yellow"/>
              </w:rPr>
            </w:pPr>
          </w:p>
        </w:tc>
      </w:tr>
      <w:tr w:rsidR="005A09E8"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rPr>
                <w:rFonts w:cs="Arial"/>
                <w:sz w:val="18"/>
                <w:szCs w:val="18"/>
              </w:rPr>
            </w:pPr>
            <w:r>
              <w:rPr>
                <w:rFonts w:cs="Arial"/>
                <w:sz w:val="18"/>
                <w:szCs w:val="18"/>
              </w:rPr>
              <w:t>Connaught Environmental (</w:t>
            </w:r>
            <w:smartTag w:uri="urn:schemas-microsoft-com:office:smarttags" w:element="place">
              <w:r>
                <w:rPr>
                  <w:rFonts w:cs="Arial"/>
                  <w:sz w:val="18"/>
                  <w:szCs w:val="18"/>
                </w:rPr>
                <w:t>Blackpool</w:t>
              </w:r>
            </w:smartTag>
            <w:r>
              <w:rPr>
                <w:rFonts w:cs="Arial"/>
                <w:sz w:val="18"/>
                <w:szCs w:val="18"/>
              </w:rPr>
              <w:t xml:space="preserve"> Coastal Housing)</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0.5</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13.0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0.5</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13.0</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13.0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9A3AFE" w:rsidRDefault="005A09E8" w:rsidP="005A09E8">
            <w:pPr>
              <w:spacing w:before="60" w:after="60"/>
              <w:jc w:val="center"/>
              <w:rPr>
                <w:sz w:val="18"/>
                <w:szCs w:val="18"/>
                <w:highlight w:val="yellow"/>
              </w:rPr>
            </w:pPr>
          </w:p>
        </w:tc>
      </w:tr>
      <w:tr w:rsidR="005A09E8"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rPr>
                <w:rFonts w:cs="Arial"/>
                <w:sz w:val="18"/>
                <w:szCs w:val="18"/>
              </w:rPr>
            </w:pPr>
            <w:r>
              <w:rPr>
                <w:rFonts w:cs="Arial"/>
                <w:sz w:val="18"/>
                <w:szCs w:val="18"/>
              </w:rPr>
              <w:t>Consultant Caterers Ltd</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2.5</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2.5</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15.0</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15.0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9A3AFE" w:rsidRDefault="005A09E8" w:rsidP="005A09E8">
            <w:pPr>
              <w:spacing w:before="60" w:after="60"/>
              <w:jc w:val="center"/>
              <w:rPr>
                <w:sz w:val="18"/>
                <w:szCs w:val="18"/>
                <w:highlight w:val="yellow"/>
              </w:rPr>
            </w:pPr>
          </w:p>
        </w:tc>
      </w:tr>
      <w:tr w:rsidR="005A09E8"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5A09E8" w:rsidRDefault="005A09E8" w:rsidP="005A09E8">
            <w:pPr>
              <w:spacing w:before="60" w:after="60"/>
              <w:rPr>
                <w:snapToGrid w:val="0"/>
                <w:sz w:val="18"/>
                <w:szCs w:val="18"/>
                <w:lang w:eastAsia="en-US"/>
              </w:rPr>
            </w:pPr>
            <w:r w:rsidRPr="005A09E8">
              <w:rPr>
                <w:snapToGrid w:val="0"/>
                <w:sz w:val="18"/>
                <w:szCs w:val="18"/>
                <w:lang w:eastAsia="en-US"/>
              </w:rPr>
              <w:t>Contour Housing Association</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4.1</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16.6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4.1</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16.6</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16.6</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9A3AFE" w:rsidRDefault="005A09E8" w:rsidP="005A09E8">
            <w:pPr>
              <w:spacing w:before="60" w:after="60"/>
              <w:jc w:val="center"/>
              <w:rPr>
                <w:sz w:val="18"/>
                <w:szCs w:val="18"/>
                <w:highlight w:val="yellow"/>
              </w:rPr>
            </w:pPr>
          </w:p>
        </w:tc>
      </w:tr>
      <w:tr w:rsidR="005A09E8"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rPr>
                <w:rFonts w:cs="Arial"/>
                <w:sz w:val="18"/>
                <w:szCs w:val="18"/>
              </w:rPr>
            </w:pPr>
            <w:r>
              <w:rPr>
                <w:rFonts w:cs="Arial"/>
                <w:sz w:val="18"/>
                <w:szCs w:val="18"/>
              </w:rPr>
              <w:t>Creative Support Ltd</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1.6</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1.6</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14.1</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14.1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9A3AFE" w:rsidRDefault="005A09E8" w:rsidP="005A09E8">
            <w:pPr>
              <w:spacing w:before="60" w:after="60"/>
              <w:jc w:val="center"/>
              <w:rPr>
                <w:sz w:val="18"/>
                <w:szCs w:val="18"/>
                <w:highlight w:val="yellow"/>
              </w:rPr>
            </w:pPr>
          </w:p>
        </w:tc>
      </w:tr>
      <w:tr w:rsidR="009227D1"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227D1" w:rsidRDefault="009227D1" w:rsidP="005A09E8">
            <w:pPr>
              <w:spacing w:before="60" w:after="60"/>
              <w:rPr>
                <w:sz w:val="18"/>
                <w:szCs w:val="18"/>
              </w:rPr>
            </w:pPr>
            <w:r w:rsidRPr="009227D1">
              <w:rPr>
                <w:sz w:val="18"/>
                <w:szCs w:val="18"/>
              </w:rPr>
              <w:t>CXL Ltd</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-0.6</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11.9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-0.6</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11.9</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-0.6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11.9</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A3AFE" w:rsidRDefault="009227D1" w:rsidP="005A09E8">
            <w:pPr>
              <w:spacing w:before="60" w:after="60"/>
              <w:jc w:val="center"/>
              <w:rPr>
                <w:sz w:val="18"/>
                <w:szCs w:val="18"/>
                <w:highlight w:val="yellow"/>
              </w:rPr>
            </w:pPr>
          </w:p>
        </w:tc>
      </w:tr>
      <w:tr w:rsidR="009227D1"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227D1" w:rsidRDefault="009227D1" w:rsidP="005A09E8">
            <w:pPr>
              <w:spacing w:before="60" w:after="60"/>
              <w:rPr>
                <w:sz w:val="18"/>
                <w:szCs w:val="18"/>
              </w:rPr>
            </w:pPr>
            <w:r w:rsidRPr="009227D1">
              <w:rPr>
                <w:sz w:val="18"/>
                <w:szCs w:val="18"/>
              </w:rPr>
              <w:t>Danfo (</w:t>
            </w:r>
            <w:smartTag w:uri="urn:schemas-microsoft-com:office:smarttags" w:element="place">
              <w:smartTag w:uri="urn:schemas-microsoft-com:office:smarttags" w:element="country-region">
                <w:r w:rsidRPr="009227D1">
                  <w:rPr>
                    <w:sz w:val="18"/>
                    <w:szCs w:val="18"/>
                  </w:rPr>
                  <w:t>UK</w:t>
                </w:r>
              </w:smartTag>
            </w:smartTag>
            <w:r w:rsidRPr="009227D1">
              <w:rPr>
                <w:sz w:val="18"/>
                <w:szCs w:val="18"/>
              </w:rPr>
              <w:t>) Ltd</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172.2</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184.7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172.2</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184.7</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172.2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184.7</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A3AFE" w:rsidRDefault="009227D1" w:rsidP="005A09E8">
            <w:pPr>
              <w:spacing w:before="60" w:after="60"/>
              <w:jc w:val="center"/>
              <w:rPr>
                <w:sz w:val="18"/>
                <w:szCs w:val="18"/>
                <w:highlight w:val="yellow"/>
              </w:rPr>
            </w:pPr>
          </w:p>
        </w:tc>
      </w:tr>
      <w:tr w:rsidR="009227D1"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rPr>
                <w:rFonts w:cs="Arial"/>
                <w:sz w:val="18"/>
                <w:szCs w:val="18"/>
              </w:rPr>
            </w:pPr>
            <w:smartTag w:uri="urn:schemas-microsoft-com:office:smarttags" w:element="place">
              <w:smartTag w:uri="urn:schemas-microsoft-com:office:smarttags" w:element="PlaceName">
                <w:r>
                  <w:rPr>
                    <w:rFonts w:cs="Arial"/>
                    <w:sz w:val="18"/>
                    <w:szCs w:val="18"/>
                  </w:rPr>
                  <w:t>Darwen</w:t>
                </w:r>
              </w:smartTag>
              <w:r>
                <w:rPr>
                  <w:rFonts w:cs="Arial"/>
                  <w:sz w:val="18"/>
                  <w:szCs w:val="18"/>
                </w:rPr>
                <w:t xml:space="preserve"> </w:t>
              </w:r>
              <w:smartTag w:uri="urn:schemas-microsoft-com:office:smarttags" w:element="PlaceName">
                <w:r>
                  <w:rPr>
                    <w:rFonts w:cs="Arial"/>
                    <w:sz w:val="18"/>
                    <w:szCs w:val="18"/>
                  </w:rPr>
                  <w:t>Aldridge</w:t>
                </w:r>
              </w:smartTag>
              <w:r>
                <w:rPr>
                  <w:rFonts w:cs="Arial"/>
                  <w:sz w:val="18"/>
                  <w:szCs w:val="18"/>
                </w:rPr>
                <w:t xml:space="preserve"> </w:t>
              </w:r>
              <w:smartTag w:uri="urn:schemas-microsoft-com:office:smarttags" w:element="PlaceName">
                <w:r>
                  <w:rPr>
                    <w:rFonts w:cs="Arial"/>
                    <w:sz w:val="18"/>
                    <w:szCs w:val="18"/>
                  </w:rPr>
                  <w:t>Community</w:t>
                </w:r>
              </w:smartTag>
              <w:r>
                <w:rPr>
                  <w:rFonts w:cs="Arial"/>
                  <w:sz w:val="18"/>
                  <w:szCs w:val="18"/>
                </w:rPr>
                <w:t xml:space="preserve"> </w:t>
              </w:r>
              <w:smartTag w:uri="urn:schemas-microsoft-com:office:smarttags" w:element="PlaceType">
                <w:r>
                  <w:rPr>
                    <w:rFonts w:cs="Arial"/>
                    <w:sz w:val="18"/>
                    <w:szCs w:val="18"/>
                  </w:rPr>
                  <w:t>Academy</w:t>
                </w:r>
              </w:smartTag>
            </w:smartTag>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-1.2</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11.3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-1.2</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11.3</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11.3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A3AFE" w:rsidRDefault="009227D1" w:rsidP="005A09E8">
            <w:pPr>
              <w:spacing w:before="60" w:after="60"/>
              <w:jc w:val="center"/>
              <w:rPr>
                <w:color w:val="3366FF"/>
                <w:sz w:val="18"/>
                <w:szCs w:val="18"/>
                <w:highlight w:val="yellow"/>
              </w:rPr>
            </w:pPr>
          </w:p>
        </w:tc>
      </w:tr>
      <w:tr w:rsidR="009227D1"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rPr>
                <w:rFonts w:cs="Arial"/>
                <w:sz w:val="18"/>
                <w:szCs w:val="18"/>
              </w:rPr>
            </w:pPr>
            <w:r>
              <w:rPr>
                <w:rFonts w:cs="Arial"/>
                <w:sz w:val="18"/>
                <w:szCs w:val="18"/>
              </w:rPr>
              <w:t>E ON UK Plc</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6.2</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18.7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6.2</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18.7</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6.2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18.7</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A3AFE" w:rsidRDefault="009227D1" w:rsidP="005A09E8">
            <w:pPr>
              <w:spacing w:before="60" w:after="60"/>
              <w:jc w:val="center"/>
              <w:rPr>
                <w:color w:val="3366FF"/>
                <w:sz w:val="18"/>
                <w:szCs w:val="18"/>
                <w:highlight w:val="yellow"/>
              </w:rPr>
            </w:pPr>
          </w:p>
        </w:tc>
      </w:tr>
      <w:tr w:rsidR="009227D1"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227D1" w:rsidRDefault="009227D1" w:rsidP="005A09E8">
            <w:pPr>
              <w:spacing w:before="60" w:after="60"/>
              <w:rPr>
                <w:snapToGrid w:val="0"/>
                <w:sz w:val="18"/>
                <w:szCs w:val="18"/>
                <w:lang w:eastAsia="en-US"/>
              </w:rPr>
            </w:pPr>
            <w:r w:rsidRPr="009227D1">
              <w:rPr>
                <w:snapToGrid w:val="0"/>
                <w:sz w:val="18"/>
                <w:szCs w:val="18"/>
                <w:lang w:eastAsia="en-US"/>
              </w:rPr>
              <w:t>Edge Hill University College</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1.5</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14.0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2.0</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14.5</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15.0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A3AFE" w:rsidRDefault="009227D1" w:rsidP="005A09E8">
            <w:pPr>
              <w:spacing w:before="60" w:after="60"/>
              <w:jc w:val="center"/>
              <w:rPr>
                <w:color w:val="3366FF"/>
                <w:sz w:val="18"/>
                <w:szCs w:val="18"/>
                <w:highlight w:val="yellow"/>
              </w:rPr>
            </w:pPr>
          </w:p>
        </w:tc>
      </w:tr>
      <w:tr w:rsidR="009227D1"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227D1" w:rsidRDefault="009227D1" w:rsidP="005A09E8">
            <w:pPr>
              <w:spacing w:before="60" w:after="60"/>
              <w:rPr>
                <w:snapToGrid w:val="0"/>
                <w:sz w:val="18"/>
                <w:szCs w:val="18"/>
                <w:lang w:eastAsia="en-US"/>
              </w:rPr>
            </w:pPr>
            <w:r w:rsidRPr="009227D1">
              <w:rPr>
                <w:snapToGrid w:val="0"/>
                <w:sz w:val="18"/>
                <w:szCs w:val="18"/>
                <w:lang w:eastAsia="en-US"/>
              </w:rPr>
              <w:t>Enterprise Managed Services Ltd</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F91505" w:rsidRDefault="009227D1" w:rsidP="009227D1">
            <w:pPr>
              <w:autoSpaceDE w:val="0"/>
              <w:autoSpaceDN w:val="0"/>
              <w:adjustRightInd w:val="0"/>
              <w:jc w:val="center"/>
              <w:rPr>
                <w:rFonts w:cs="Arial"/>
                <w:sz w:val="18"/>
                <w:szCs w:val="18"/>
              </w:rPr>
            </w:pPr>
            <w:r w:rsidRPr="00F91505">
              <w:rPr>
                <w:rFonts w:cs="Arial"/>
                <w:sz w:val="18"/>
                <w:szCs w:val="18"/>
              </w:rPr>
              <w:t>1.1</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F91505" w:rsidRDefault="009227D1" w:rsidP="009227D1">
            <w:pPr>
              <w:autoSpaceDE w:val="0"/>
              <w:autoSpaceDN w:val="0"/>
              <w:adjustRightInd w:val="0"/>
              <w:jc w:val="center"/>
              <w:rPr>
                <w:rFonts w:cs="Arial"/>
                <w:sz w:val="18"/>
                <w:szCs w:val="18"/>
              </w:rPr>
            </w:pPr>
            <w:r w:rsidRPr="00F91505">
              <w:rPr>
                <w:rFonts w:cs="Arial"/>
                <w:sz w:val="18"/>
                <w:szCs w:val="18"/>
              </w:rPr>
              <w:t>13.6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F91505" w:rsidRDefault="009227D1" w:rsidP="009227D1">
            <w:pPr>
              <w:autoSpaceDE w:val="0"/>
              <w:autoSpaceDN w:val="0"/>
              <w:adjustRightInd w:val="0"/>
              <w:jc w:val="center"/>
              <w:rPr>
                <w:rFonts w:cs="Arial"/>
                <w:sz w:val="18"/>
                <w:szCs w:val="18"/>
              </w:rPr>
            </w:pPr>
            <w:r w:rsidRPr="00F91505">
              <w:rPr>
                <w:rFonts w:cs="Arial"/>
                <w:sz w:val="18"/>
                <w:szCs w:val="18"/>
              </w:rPr>
              <w:t>2.4</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F91505" w:rsidRDefault="009227D1" w:rsidP="009227D1">
            <w:pPr>
              <w:autoSpaceDE w:val="0"/>
              <w:autoSpaceDN w:val="0"/>
              <w:adjustRightInd w:val="0"/>
              <w:jc w:val="center"/>
              <w:rPr>
                <w:rFonts w:cs="Arial"/>
                <w:sz w:val="18"/>
                <w:szCs w:val="18"/>
              </w:rPr>
            </w:pPr>
            <w:r w:rsidRPr="00F91505">
              <w:rPr>
                <w:rFonts w:cs="Arial"/>
                <w:sz w:val="18"/>
                <w:szCs w:val="18"/>
              </w:rPr>
              <w:t>14.9</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F91505" w:rsidRDefault="009227D1" w:rsidP="009227D1">
            <w:pPr>
              <w:autoSpaceDE w:val="0"/>
              <w:autoSpaceDN w:val="0"/>
              <w:adjustRightInd w:val="0"/>
              <w:jc w:val="center"/>
              <w:rPr>
                <w:rFonts w:cs="Arial"/>
                <w:sz w:val="18"/>
                <w:szCs w:val="18"/>
              </w:rPr>
            </w:pPr>
            <w:r w:rsidRPr="00F91505">
              <w:rPr>
                <w:rFonts w:cs="Arial"/>
                <w:sz w:val="18"/>
                <w:szCs w:val="18"/>
              </w:rPr>
              <w:t>3.6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F91505" w:rsidRDefault="009227D1" w:rsidP="009227D1">
            <w:pPr>
              <w:autoSpaceDE w:val="0"/>
              <w:autoSpaceDN w:val="0"/>
              <w:adjustRightInd w:val="0"/>
              <w:jc w:val="center"/>
              <w:rPr>
                <w:rFonts w:cs="Arial"/>
                <w:sz w:val="18"/>
                <w:szCs w:val="18"/>
              </w:rPr>
            </w:pPr>
            <w:r w:rsidRPr="00F91505">
              <w:rPr>
                <w:rFonts w:cs="Arial"/>
                <w:sz w:val="18"/>
                <w:szCs w:val="18"/>
              </w:rPr>
              <w:t>16.1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A3AFE" w:rsidRDefault="009227D1" w:rsidP="005A09E8">
            <w:pPr>
              <w:spacing w:before="60" w:after="60"/>
              <w:jc w:val="center"/>
              <w:rPr>
                <w:color w:val="3366FF"/>
                <w:sz w:val="18"/>
                <w:szCs w:val="18"/>
                <w:highlight w:val="yellow"/>
              </w:rPr>
            </w:pPr>
          </w:p>
        </w:tc>
      </w:tr>
      <w:tr w:rsidR="009227D1"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227D1" w:rsidRDefault="009227D1" w:rsidP="005A09E8">
            <w:pPr>
              <w:spacing w:before="60" w:after="60"/>
              <w:rPr>
                <w:snapToGrid w:val="0"/>
                <w:sz w:val="18"/>
                <w:szCs w:val="18"/>
                <w:lang w:eastAsia="en-US"/>
              </w:rPr>
            </w:pPr>
            <w:r w:rsidRPr="009227D1">
              <w:rPr>
                <w:snapToGrid w:val="0"/>
                <w:sz w:val="18"/>
                <w:szCs w:val="18"/>
                <w:lang w:eastAsia="en-US"/>
              </w:rPr>
              <w:t>Eric Wright Commercial Ltd</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5.4</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17.9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5.4</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17.9</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5.4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17.9</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A3AFE" w:rsidRDefault="009227D1" w:rsidP="005A09E8">
            <w:pPr>
              <w:spacing w:before="60" w:after="60"/>
              <w:jc w:val="center"/>
              <w:rPr>
                <w:color w:val="3366FF"/>
                <w:sz w:val="18"/>
                <w:szCs w:val="18"/>
                <w:highlight w:val="yellow"/>
              </w:rPr>
            </w:pPr>
          </w:p>
        </w:tc>
      </w:tr>
      <w:tr w:rsidR="009227D1"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rPr>
                <w:rFonts w:cs="Arial"/>
                <w:sz w:val="18"/>
                <w:szCs w:val="18"/>
              </w:rPr>
            </w:pPr>
            <w:smartTag w:uri="urn:schemas-microsoft-com:office:smarttags" w:element="place">
              <w:smartTag w:uri="urn:schemas-microsoft-com:office:smarttags" w:element="PlaceName">
                <w:r>
                  <w:rPr>
                    <w:rFonts w:cs="Arial"/>
                    <w:sz w:val="18"/>
                    <w:szCs w:val="18"/>
                  </w:rPr>
                  <w:t>Fulwood</w:t>
                </w:r>
              </w:smartTag>
              <w:r>
                <w:rPr>
                  <w:rFonts w:cs="Arial"/>
                  <w:sz w:val="18"/>
                  <w:szCs w:val="18"/>
                </w:rPr>
                <w:t xml:space="preserve"> </w:t>
              </w:r>
              <w:smartTag w:uri="urn:schemas-microsoft-com:office:smarttags" w:element="PlaceType">
                <w:r>
                  <w:rPr>
                    <w:rFonts w:cs="Arial"/>
                    <w:sz w:val="18"/>
                    <w:szCs w:val="18"/>
                  </w:rPr>
                  <w:t>Academy</w:t>
                </w:r>
              </w:smartTag>
            </w:smartTag>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-1.3</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11.2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-1.3</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11.2</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11.2</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A3AFE" w:rsidRDefault="009227D1" w:rsidP="005A09E8">
            <w:pPr>
              <w:spacing w:before="60" w:after="60"/>
              <w:jc w:val="center"/>
              <w:rPr>
                <w:color w:val="3366FF"/>
                <w:sz w:val="18"/>
                <w:szCs w:val="18"/>
                <w:highlight w:val="yellow"/>
              </w:rPr>
            </w:pPr>
          </w:p>
        </w:tc>
      </w:tr>
      <w:tr w:rsidR="009227D1"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227D1" w:rsidRDefault="009227D1" w:rsidP="005A09E8">
            <w:pPr>
              <w:spacing w:before="60" w:after="60"/>
              <w:rPr>
                <w:snapToGrid w:val="0"/>
                <w:sz w:val="18"/>
                <w:szCs w:val="18"/>
                <w:lang w:eastAsia="en-US"/>
              </w:rPr>
            </w:pPr>
            <w:r w:rsidRPr="009227D1">
              <w:rPr>
                <w:snapToGrid w:val="0"/>
                <w:sz w:val="18"/>
                <w:szCs w:val="18"/>
                <w:lang w:eastAsia="en-US"/>
              </w:rPr>
              <w:t>Fylde Borough Council</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7.0</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19.5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8.3</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20.8</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9.5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22.0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A3AFE" w:rsidRDefault="009227D1" w:rsidP="005A09E8">
            <w:pPr>
              <w:spacing w:before="60" w:after="60"/>
              <w:jc w:val="center"/>
              <w:rPr>
                <w:color w:val="3366FF"/>
                <w:sz w:val="18"/>
                <w:szCs w:val="18"/>
                <w:highlight w:val="yellow"/>
              </w:rPr>
            </w:pPr>
          </w:p>
        </w:tc>
      </w:tr>
      <w:tr w:rsidR="009227D1"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rPr>
                <w:rFonts w:cs="Arial"/>
                <w:sz w:val="18"/>
                <w:szCs w:val="18"/>
              </w:rPr>
            </w:pPr>
            <w:r>
              <w:rPr>
                <w:rFonts w:cs="Arial"/>
                <w:sz w:val="18"/>
                <w:szCs w:val="18"/>
              </w:rPr>
              <w:t>Fylde Coast YMCA (Fylde)</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-2.0</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-2.0</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10.5</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-2.0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10.5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A3AFE" w:rsidRDefault="009227D1" w:rsidP="005A09E8">
            <w:pPr>
              <w:spacing w:before="60" w:after="60"/>
              <w:jc w:val="center"/>
              <w:rPr>
                <w:color w:val="3366FF"/>
                <w:sz w:val="18"/>
                <w:szCs w:val="18"/>
                <w:highlight w:val="yellow"/>
              </w:rPr>
            </w:pPr>
          </w:p>
        </w:tc>
      </w:tr>
    </w:tbl>
    <w:p w:rsidR="00B8085C" w:rsidRPr="009A3AFE" w:rsidRDefault="00B8085C" w:rsidP="00B8085C">
      <w:pPr>
        <w:spacing w:before="240"/>
        <w:rPr>
          <w:sz w:val="16"/>
          <w:highlight w:val="yellow"/>
        </w:rPr>
      </w:pPr>
    </w:p>
    <w:tbl>
      <w:tblPr>
        <w:tblpPr w:leftFromText="180" w:rightFromText="180" w:vertAnchor="text" w:horzAnchor="margin" w:tblpY="333"/>
        <w:tblW w:w="10286" w:type="dxa"/>
        <w:shd w:val="clear" w:color="auto" w:fill="F3F3F3"/>
        <w:tblLayout w:type="fixed"/>
        <w:tblLook w:val="0000"/>
      </w:tblPr>
      <w:tblGrid>
        <w:gridCol w:w="3194"/>
        <w:gridCol w:w="870"/>
        <w:gridCol w:w="870"/>
        <w:gridCol w:w="870"/>
        <w:gridCol w:w="870"/>
        <w:gridCol w:w="870"/>
        <w:gridCol w:w="870"/>
        <w:gridCol w:w="1872"/>
      </w:tblGrid>
      <w:tr w:rsidR="009227D1" w:rsidRPr="009A3AFE" w:rsidTr="00F6079E">
        <w:trPr>
          <w:cantSplit/>
          <w:trHeight w:val="835"/>
        </w:trPr>
        <w:tc>
          <w:tcPr>
            <w:tcW w:w="3194" w:type="dxa"/>
            <w:tcBorders>
              <w:top w:val="single" w:sz="4" w:space="0" w:color="auto"/>
              <w:left w:val="single" w:sz="4" w:space="0" w:color="auto"/>
              <w:right w:val="single" w:sz="4" w:space="0" w:color="auto"/>
            </w:tcBorders>
            <w:shd w:val="clear" w:color="auto" w:fill="F3F3F3"/>
          </w:tcPr>
          <w:p w:rsidR="009227D1" w:rsidRPr="009A3AFE" w:rsidRDefault="009227D1" w:rsidP="009227D1">
            <w:pPr>
              <w:rPr>
                <w:b/>
                <w:sz w:val="18"/>
                <w:highlight w:val="yellow"/>
              </w:rPr>
            </w:pPr>
          </w:p>
        </w:tc>
        <w:tc>
          <w:tcPr>
            <w:tcW w:w="17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A92013" w:rsidRDefault="009227D1" w:rsidP="009227D1">
            <w:pPr>
              <w:ind w:left="-108"/>
              <w:jc w:val="center"/>
              <w:rPr>
                <w:b/>
                <w:color w:val="000000"/>
                <w:sz w:val="18"/>
              </w:rPr>
            </w:pPr>
            <w:r w:rsidRPr="00A92013">
              <w:rPr>
                <w:b/>
                <w:color w:val="000000"/>
                <w:sz w:val="18"/>
              </w:rPr>
              <w:t>2011/12</w:t>
            </w:r>
          </w:p>
        </w:tc>
        <w:tc>
          <w:tcPr>
            <w:tcW w:w="17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A92013" w:rsidRDefault="009227D1" w:rsidP="009227D1">
            <w:pPr>
              <w:jc w:val="center"/>
              <w:rPr>
                <w:b/>
                <w:sz w:val="18"/>
              </w:rPr>
            </w:pPr>
            <w:r w:rsidRPr="00A92013">
              <w:rPr>
                <w:b/>
                <w:color w:val="000000"/>
                <w:sz w:val="18"/>
              </w:rPr>
              <w:t>2012/13</w:t>
            </w:r>
          </w:p>
        </w:tc>
        <w:tc>
          <w:tcPr>
            <w:tcW w:w="17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A92013" w:rsidRDefault="009227D1" w:rsidP="009227D1">
            <w:pPr>
              <w:jc w:val="center"/>
              <w:rPr>
                <w:b/>
                <w:sz w:val="18"/>
              </w:rPr>
            </w:pPr>
            <w:r w:rsidRPr="00A92013">
              <w:rPr>
                <w:b/>
                <w:color w:val="000000"/>
                <w:sz w:val="18"/>
                <w:szCs w:val="18"/>
              </w:rPr>
              <w:t>2013/14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A92013" w:rsidRDefault="009227D1" w:rsidP="009227D1">
            <w:pPr>
              <w:jc w:val="center"/>
              <w:rPr>
                <w:sz w:val="14"/>
                <w:szCs w:val="14"/>
              </w:rPr>
            </w:pPr>
            <w:r w:rsidRPr="00A92013">
              <w:rPr>
                <w:b/>
                <w:color w:val="000000"/>
                <w:sz w:val="18"/>
                <w:szCs w:val="18"/>
              </w:rPr>
              <w:t>Non-ill health early retirement allowance included for the 3 years 2011/14</w:t>
            </w:r>
          </w:p>
        </w:tc>
      </w:tr>
      <w:tr w:rsidR="009227D1" w:rsidRPr="009A3AFE" w:rsidTr="00F6079E">
        <w:trPr>
          <w:cantSplit/>
          <w:trHeight w:val="835"/>
        </w:trPr>
        <w:tc>
          <w:tcPr>
            <w:tcW w:w="3194" w:type="dxa"/>
            <w:tcBorders>
              <w:left w:val="single" w:sz="4" w:space="0" w:color="auto"/>
              <w:bottom w:val="single" w:sz="4" w:space="0" w:color="auto"/>
              <w:right w:val="single" w:sz="4" w:space="0" w:color="auto"/>
            </w:tcBorders>
            <w:shd w:val="clear" w:color="auto" w:fill="F3F3F3"/>
            <w:vAlign w:val="center"/>
          </w:tcPr>
          <w:p w:rsidR="009227D1" w:rsidRPr="009A3AFE" w:rsidRDefault="009227D1" w:rsidP="009227D1">
            <w:pPr>
              <w:rPr>
                <w:b/>
                <w:sz w:val="18"/>
                <w:highlight w:val="yellow"/>
              </w:rPr>
            </w:pPr>
            <w:r w:rsidRPr="009227D1">
              <w:rPr>
                <w:b/>
                <w:sz w:val="18"/>
              </w:rPr>
              <w:t>Employers</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jc w:val="center"/>
              <w:rPr>
                <w:b/>
                <w:sz w:val="14"/>
              </w:rPr>
            </w:pPr>
            <w:r w:rsidRPr="00A92013">
              <w:rPr>
                <w:b/>
                <w:sz w:val="14"/>
              </w:rPr>
              <w:t>Individual Adjust-ment)</w:t>
            </w:r>
          </w:p>
          <w:p w:rsidR="009227D1" w:rsidRPr="00A92013" w:rsidRDefault="009227D1" w:rsidP="009227D1">
            <w:pPr>
              <w:jc w:val="center"/>
              <w:rPr>
                <w:b/>
                <w:sz w:val="14"/>
              </w:rPr>
            </w:pP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jc w:val="center"/>
              <w:rPr>
                <w:b/>
                <w:sz w:val="14"/>
              </w:rPr>
            </w:pPr>
            <w:r w:rsidRPr="00A92013">
              <w:rPr>
                <w:b/>
                <w:sz w:val="14"/>
              </w:rPr>
              <w:t xml:space="preserve">Total Contribu-tion Rate </w:t>
            </w:r>
          </w:p>
          <w:p w:rsidR="009227D1" w:rsidRPr="00A92013" w:rsidRDefault="009227D1" w:rsidP="009227D1">
            <w:pPr>
              <w:jc w:val="center"/>
              <w:rPr>
                <w:b/>
                <w:sz w:val="14"/>
              </w:rPr>
            </w:pP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A92013" w:rsidRDefault="009227D1" w:rsidP="009227D1">
            <w:pPr>
              <w:jc w:val="center"/>
              <w:rPr>
                <w:b/>
                <w:sz w:val="14"/>
              </w:rPr>
            </w:pPr>
            <w:r w:rsidRPr="00A92013">
              <w:rPr>
                <w:b/>
                <w:sz w:val="14"/>
              </w:rPr>
              <w:t>Individual Adjust-ment</w:t>
            </w:r>
            <w:r w:rsidRPr="00A92013">
              <w:rPr>
                <w:b/>
                <w:sz w:val="14"/>
              </w:rPr>
              <w:br/>
            </w: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jc w:val="center"/>
              <w:rPr>
                <w:b/>
                <w:sz w:val="14"/>
              </w:rPr>
            </w:pPr>
            <w:r w:rsidRPr="00A92013">
              <w:rPr>
                <w:b/>
                <w:sz w:val="14"/>
              </w:rPr>
              <w:t>Total Contribu-tion Rate</w:t>
            </w:r>
          </w:p>
          <w:p w:rsidR="009227D1" w:rsidRPr="00A92013" w:rsidRDefault="009227D1" w:rsidP="009227D1">
            <w:pPr>
              <w:jc w:val="center"/>
              <w:rPr>
                <w:b/>
                <w:sz w:val="14"/>
              </w:rPr>
            </w:pP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A92013" w:rsidRDefault="009227D1" w:rsidP="009227D1">
            <w:pPr>
              <w:jc w:val="center"/>
              <w:rPr>
                <w:b/>
                <w:sz w:val="14"/>
              </w:rPr>
            </w:pPr>
            <w:r w:rsidRPr="00A92013">
              <w:rPr>
                <w:b/>
                <w:sz w:val="14"/>
              </w:rPr>
              <w:t>Individual Adjust-ment</w:t>
            </w:r>
            <w:r w:rsidRPr="00A92013">
              <w:rPr>
                <w:b/>
                <w:sz w:val="14"/>
              </w:rPr>
              <w:br/>
            </w: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B51B16" w:rsidRDefault="009227D1" w:rsidP="009227D1">
            <w:pPr>
              <w:jc w:val="center"/>
              <w:rPr>
                <w:b/>
                <w:sz w:val="14"/>
              </w:rPr>
            </w:pPr>
            <w:r w:rsidRPr="00B51B16">
              <w:rPr>
                <w:b/>
                <w:sz w:val="14"/>
              </w:rPr>
              <w:t>Total Contribu-tion Rate</w:t>
            </w:r>
          </w:p>
          <w:p w:rsidR="009227D1" w:rsidRPr="00B51B16" w:rsidRDefault="009227D1" w:rsidP="009227D1">
            <w:pPr>
              <w:jc w:val="center"/>
              <w:rPr>
                <w:b/>
                <w:sz w:val="14"/>
              </w:rPr>
            </w:pPr>
            <w:r w:rsidRPr="00B51B16">
              <w:rPr>
                <w:b/>
                <w:sz w:val="14"/>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F6079E" w:rsidRDefault="009227D1" w:rsidP="009227D1">
            <w:pPr>
              <w:jc w:val="center"/>
              <w:rPr>
                <w:b/>
                <w:sz w:val="14"/>
                <w:szCs w:val="14"/>
              </w:rPr>
            </w:pPr>
            <w:r w:rsidRPr="00F6079E">
              <w:rPr>
                <w:b/>
                <w:sz w:val="14"/>
                <w:szCs w:val="14"/>
              </w:rPr>
              <w:t>Amount</w:t>
            </w:r>
            <w:r w:rsidRPr="00F6079E">
              <w:rPr>
                <w:b/>
                <w:sz w:val="14"/>
                <w:szCs w:val="14"/>
              </w:rPr>
              <w:br/>
              <w:t>£</w:t>
            </w:r>
          </w:p>
        </w:tc>
      </w:tr>
      <w:tr w:rsidR="009227D1" w:rsidRPr="009A3AFE" w:rsidTr="00F6079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A3AFE" w:rsidRDefault="009227D1" w:rsidP="009227D1">
            <w:pPr>
              <w:spacing w:before="60" w:after="60"/>
              <w:rPr>
                <w:snapToGrid w:val="0"/>
                <w:sz w:val="18"/>
                <w:szCs w:val="18"/>
                <w:highlight w:val="yellow"/>
                <w:lang w:eastAsia="en-US"/>
              </w:rPr>
            </w:pPr>
            <w:r w:rsidRPr="009227D1">
              <w:rPr>
                <w:snapToGrid w:val="0"/>
                <w:sz w:val="18"/>
                <w:szCs w:val="18"/>
                <w:lang w:eastAsia="en-US"/>
              </w:rPr>
              <w:t>Fylde Community Link</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4.3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16.8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4.3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16.8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4.3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16.8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A3AFE" w:rsidRDefault="009227D1" w:rsidP="005A09E8">
            <w:pPr>
              <w:spacing w:before="60" w:after="60"/>
              <w:jc w:val="center"/>
              <w:rPr>
                <w:color w:val="3366FF"/>
                <w:sz w:val="18"/>
                <w:szCs w:val="18"/>
                <w:highlight w:val="yellow"/>
              </w:rPr>
            </w:pP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6079E" w:rsidRDefault="00F6079E" w:rsidP="009227D1">
            <w:pPr>
              <w:spacing w:before="60" w:after="60"/>
              <w:rPr>
                <w:snapToGrid w:val="0"/>
                <w:sz w:val="18"/>
                <w:szCs w:val="18"/>
                <w:lang w:eastAsia="en-US"/>
              </w:rPr>
            </w:pPr>
            <w:r w:rsidRPr="00F6079E">
              <w:rPr>
                <w:snapToGrid w:val="0"/>
                <w:sz w:val="18"/>
                <w:szCs w:val="18"/>
                <w:lang w:eastAsia="en-US"/>
              </w:rPr>
              <w:t>Galloways Society for the Blind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32.2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44.7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32.2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44.7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32.2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44.7</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5A09E8">
            <w:pPr>
              <w:spacing w:before="60" w:after="60"/>
              <w:jc w:val="center"/>
              <w:rPr>
                <w:sz w:val="18"/>
                <w:szCs w:val="18"/>
                <w:highlight w:val="yellow"/>
              </w:rPr>
            </w:pP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Garstang Town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11.2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11.2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11.2</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rPr>
                <w:rFonts w:cs="Arial"/>
                <w:sz w:val="18"/>
                <w:szCs w:val="18"/>
              </w:rPr>
            </w:pPr>
            <w:r>
              <w:rPr>
                <w:rFonts w:cs="Arial"/>
                <w:sz w:val="18"/>
                <w:szCs w:val="18"/>
              </w:rPr>
              <w:t xml:space="preserve">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Housing Pendle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 xml:space="preserve">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Hyndburn Borough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24.8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24.8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24.8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 xml:space="preserve">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Hyndburn Homes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13.9</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 xml:space="preserve">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I Care</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10.9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10.9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10.9</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 xml:space="preserve">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smartTag w:uri="urn:schemas-microsoft-com:office:smarttags" w:element="PlaceName">
                <w:r>
                  <w:rPr>
                    <w:rFonts w:cs="Arial"/>
                    <w:sz w:val="18"/>
                    <w:szCs w:val="18"/>
                  </w:rPr>
                  <w:t>Kirkham</w:t>
                </w:r>
              </w:smartTag>
              <w:r>
                <w:rPr>
                  <w:rFonts w:cs="Arial"/>
                  <w:sz w:val="18"/>
                  <w:szCs w:val="18"/>
                </w:rPr>
                <w:t xml:space="preserve"> </w:t>
              </w:r>
              <w:smartTag w:uri="urn:schemas-microsoft-com:office:smarttags" w:element="PlaceType">
                <w:r>
                  <w:rPr>
                    <w:rFonts w:cs="Arial"/>
                    <w:sz w:val="18"/>
                    <w:szCs w:val="18"/>
                  </w:rPr>
                  <w:t>Grammar School</w:t>
                </w:r>
              </w:smartTag>
            </w:smartTag>
            <w:r>
              <w:rPr>
                <w:rFonts w:cs="Arial"/>
                <w:sz w:val="18"/>
                <w:szCs w:val="18"/>
              </w:rPr>
              <w:t xml:space="preserve"> </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5.1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17.6</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rPr>
                <w:rFonts w:cs="Arial"/>
                <w:sz w:val="18"/>
                <w:szCs w:val="18"/>
              </w:rPr>
            </w:pPr>
            <w:r>
              <w:rPr>
                <w:rFonts w:cs="Arial"/>
                <w:sz w:val="18"/>
                <w:szCs w:val="18"/>
              </w:rPr>
              <w:t xml:space="preserve">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smartTag w:uri="urn:schemas-microsoft-com:office:smarttags" w:element="City">
                <w:r>
                  <w:rPr>
                    <w:rFonts w:cs="Arial"/>
                    <w:sz w:val="18"/>
                    <w:szCs w:val="18"/>
                  </w:rPr>
                  <w:t>Kirkland</w:t>
                </w:r>
              </w:smartTag>
            </w:smartTag>
            <w:r>
              <w:rPr>
                <w:rFonts w:cs="Arial"/>
                <w:sz w:val="18"/>
                <w:szCs w:val="18"/>
              </w:rPr>
              <w:t xml:space="preserve"> Parish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rPr>
                <w:rFonts w:cs="Arial"/>
                <w:sz w:val="18"/>
                <w:szCs w:val="18"/>
              </w:rPr>
            </w:pPr>
            <w:r>
              <w:rPr>
                <w:rFonts w:cs="Arial"/>
                <w:sz w:val="18"/>
                <w:szCs w:val="18"/>
              </w:rPr>
              <w:t xml:space="preserve">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Lancashire &amp; Blackpool Tourist Board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13.6</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 xml:space="preserve">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 xml:space="preserve">Lancashire </w:t>
            </w:r>
            <w:smartTag w:uri="urn:schemas-microsoft-com:office:smarttags" w:element="place">
              <w:smartTag w:uri="urn:schemas-microsoft-com:office:smarttags" w:element="PlaceType">
                <w:r>
                  <w:rPr>
                    <w:rFonts w:cs="Arial"/>
                    <w:sz w:val="18"/>
                    <w:szCs w:val="18"/>
                  </w:rPr>
                  <w:t>County</w:t>
                </w:r>
              </w:smartTag>
              <w:r>
                <w:rPr>
                  <w:rFonts w:cs="Arial"/>
                  <w:sz w:val="18"/>
                  <w:szCs w:val="18"/>
                </w:rPr>
                <w:t xml:space="preserve"> </w:t>
              </w:r>
              <w:smartTag w:uri="urn:schemas-microsoft-com:office:smarttags" w:element="PlaceName">
                <w:r>
                  <w:rPr>
                    <w:rFonts w:cs="Arial"/>
                    <w:sz w:val="18"/>
                    <w:szCs w:val="18"/>
                  </w:rPr>
                  <w:t>Branch</w:t>
                </w:r>
              </w:smartTag>
            </w:smartTag>
            <w:r>
              <w:rPr>
                <w:rFonts w:cs="Arial"/>
                <w:sz w:val="18"/>
                <w:szCs w:val="18"/>
              </w:rPr>
              <w:t xml:space="preserve"> Unison</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8.0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8.0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8.0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20.5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 xml:space="preserve">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r>
                <w:rPr>
                  <w:rFonts w:cs="Arial"/>
                  <w:sz w:val="18"/>
                  <w:szCs w:val="18"/>
                </w:rPr>
                <w:t>Lancashire</w:t>
              </w:r>
            </w:smartTag>
            <w:r>
              <w:rPr>
                <w:rFonts w:cs="Arial"/>
                <w:sz w:val="18"/>
                <w:szCs w:val="18"/>
              </w:rPr>
              <w:t xml:space="preserve"> County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5.8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6.2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6.6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19.1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 xml:space="preserve">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r>
                <w:rPr>
                  <w:rFonts w:cs="Arial"/>
                  <w:sz w:val="18"/>
                  <w:szCs w:val="18"/>
                </w:rPr>
                <w:t>Lancashire</w:t>
              </w:r>
            </w:smartTag>
            <w:r>
              <w:rPr>
                <w:rFonts w:cs="Arial"/>
                <w:sz w:val="18"/>
                <w:szCs w:val="18"/>
              </w:rPr>
              <w:t xml:space="preserve"> Fire &amp; Rescue Service</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 xml:space="preserve"> £199,000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r>
                <w:rPr>
                  <w:rFonts w:cs="Arial"/>
                  <w:sz w:val="18"/>
                  <w:szCs w:val="18"/>
                </w:rPr>
                <w:t>Lancashire</w:t>
              </w:r>
            </w:smartTag>
            <w:r>
              <w:rPr>
                <w:rFonts w:cs="Arial"/>
                <w:sz w:val="18"/>
                <w:szCs w:val="18"/>
              </w:rPr>
              <w:t xml:space="preserve"> Police Authority</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 xml:space="preserve"> £450,500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r>
                <w:rPr>
                  <w:rFonts w:cs="Arial"/>
                  <w:sz w:val="18"/>
                  <w:szCs w:val="18"/>
                </w:rPr>
                <w:t>Lancashire</w:t>
              </w:r>
            </w:smartTag>
            <w:r>
              <w:rPr>
                <w:rFonts w:cs="Arial"/>
                <w:sz w:val="18"/>
                <w:szCs w:val="18"/>
              </w:rPr>
              <w:t xml:space="preserve"> Probation Committee</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6.6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19.1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6.6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19.1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6.6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19.1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 xml:space="preserve">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rPr>
                <w:rFonts w:cs="Arial"/>
                <w:sz w:val="18"/>
                <w:szCs w:val="18"/>
              </w:rPr>
            </w:pPr>
            <w:smartTag w:uri="urn:schemas-microsoft-com:office:smarttags" w:element="place">
              <w:smartTag w:uri="urn:schemas-microsoft-com:office:smarttags" w:element="PlaceName">
                <w:r w:rsidRPr="00F91505">
                  <w:rPr>
                    <w:rFonts w:cs="Arial"/>
                    <w:sz w:val="18"/>
                    <w:szCs w:val="18"/>
                  </w:rPr>
                  <w:t>Lancaster &amp; Morecambe</w:t>
                </w:r>
              </w:smartTag>
              <w:r w:rsidRPr="00F91505">
                <w:rPr>
                  <w:rFonts w:cs="Arial"/>
                  <w:sz w:val="18"/>
                  <w:szCs w:val="18"/>
                </w:rPr>
                <w:t xml:space="preserve"> </w:t>
              </w:r>
              <w:smartTag w:uri="urn:schemas-microsoft-com:office:smarttags" w:element="PlaceType">
                <w:r w:rsidRPr="00F91505">
                  <w:rPr>
                    <w:rFonts w:cs="Arial"/>
                    <w:sz w:val="18"/>
                    <w:szCs w:val="18"/>
                  </w:rPr>
                  <w:t>College</w:t>
                </w:r>
              </w:smartTag>
            </w:smartTag>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16.6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16.6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16.6</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rPr>
                <w:rFonts w:cs="Arial"/>
                <w:sz w:val="18"/>
                <w:szCs w:val="18"/>
              </w:rPr>
            </w:pPr>
            <w:r w:rsidRPr="00F91505">
              <w:rPr>
                <w:rFonts w:cs="Arial"/>
                <w:sz w:val="18"/>
                <w:szCs w:val="18"/>
              </w:rPr>
              <w:t xml:space="preserve">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smartTag w:uri="urn:schemas-microsoft-com:office:smarttags" w:element="City">
                <w:r>
                  <w:rPr>
                    <w:rFonts w:cs="Arial"/>
                    <w:sz w:val="18"/>
                    <w:szCs w:val="18"/>
                  </w:rPr>
                  <w:t>Lancaster</w:t>
                </w:r>
              </w:smartTag>
            </w:smartTag>
            <w:r>
              <w:rPr>
                <w:rFonts w:cs="Arial"/>
                <w:sz w:val="18"/>
                <w:szCs w:val="18"/>
              </w:rPr>
              <w:t xml:space="preserve"> City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8.1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20.6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8.1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20.6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8.1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20.6</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 xml:space="preserve">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smartTag w:uri="urn:schemas-microsoft-com:office:smarttags" w:element="PlaceName">
                <w:r>
                  <w:rPr>
                    <w:rFonts w:cs="Arial"/>
                    <w:sz w:val="18"/>
                    <w:szCs w:val="18"/>
                  </w:rPr>
                  <w:t>Lancaster</w:t>
                </w:r>
              </w:smartTag>
              <w:r>
                <w:rPr>
                  <w:rFonts w:cs="Arial"/>
                  <w:sz w:val="18"/>
                  <w:szCs w:val="18"/>
                </w:rPr>
                <w:t xml:space="preserve"> </w:t>
              </w:r>
              <w:smartTag w:uri="urn:schemas-microsoft-com:office:smarttags" w:element="PlaceType">
                <w:r>
                  <w:rPr>
                    <w:rFonts w:cs="Arial"/>
                    <w:sz w:val="18"/>
                    <w:szCs w:val="18"/>
                  </w:rPr>
                  <w:t>University</w:t>
                </w:r>
              </w:smartTag>
            </w:smartTag>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 xml:space="preserve">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Leisure in Hyndburn</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5.7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18.2</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 xml:space="preserve">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Liberata</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6.0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6.0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6.0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9227D1">
            <w:pPr>
              <w:spacing w:before="60" w:after="60"/>
              <w:jc w:val="center"/>
              <w:rPr>
                <w:color w:val="3366FF"/>
                <w:sz w:val="18"/>
                <w:szCs w:val="18"/>
                <w:highlight w:val="yellow"/>
              </w:rPr>
            </w:pP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Liberata UK Ltd (</w:t>
            </w:r>
            <w:smartTag w:uri="urn:schemas-microsoft-com:office:smarttags" w:element="place">
              <w:r>
                <w:rPr>
                  <w:rFonts w:cs="Arial"/>
                  <w:sz w:val="18"/>
                  <w:szCs w:val="18"/>
                </w:rPr>
                <w:t>Chorley</w:t>
              </w:r>
            </w:smartTag>
            <w:r>
              <w:rPr>
                <w:rFonts w:cs="Arial"/>
                <w:sz w:val="18"/>
                <w:szCs w:val="18"/>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8.9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21.4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8.9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21.4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8.9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21.4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9227D1">
            <w:pPr>
              <w:spacing w:before="60" w:after="60"/>
              <w:jc w:val="center"/>
              <w:rPr>
                <w:color w:val="3366FF"/>
                <w:sz w:val="18"/>
                <w:szCs w:val="18"/>
                <w:highlight w:val="yellow"/>
              </w:rPr>
            </w:pP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Lytham Schools Foundation</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14.7</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9227D1">
            <w:pPr>
              <w:spacing w:before="60" w:after="60"/>
              <w:jc w:val="center"/>
              <w:rPr>
                <w:color w:val="3366FF"/>
                <w:sz w:val="18"/>
                <w:szCs w:val="18"/>
                <w:highlight w:val="yellow"/>
              </w:rPr>
            </w:pP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Mellor's (formerly Wyre)</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14.2</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9227D1">
            <w:pPr>
              <w:spacing w:before="60" w:after="60"/>
              <w:jc w:val="center"/>
              <w:rPr>
                <w:color w:val="3366FF"/>
                <w:sz w:val="18"/>
                <w:szCs w:val="18"/>
                <w:highlight w:val="yellow"/>
              </w:rPr>
            </w:pP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Mellor's Catering (Cardinal Newman)</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9227D1">
            <w:pPr>
              <w:spacing w:before="60" w:after="60"/>
              <w:jc w:val="center"/>
              <w:rPr>
                <w:color w:val="3366FF"/>
                <w:sz w:val="18"/>
                <w:szCs w:val="18"/>
                <w:highlight w:val="yellow"/>
              </w:rPr>
            </w:pP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smartTag w:uri="urn:schemas-microsoft-com:office:smarttags" w:element="PlaceName">
                <w:r>
                  <w:rPr>
                    <w:rFonts w:cs="Arial"/>
                    <w:sz w:val="18"/>
                    <w:szCs w:val="18"/>
                  </w:rPr>
                  <w:t>Myerscough</w:t>
                </w:r>
              </w:smartTag>
              <w:r>
                <w:rPr>
                  <w:rFonts w:cs="Arial"/>
                  <w:sz w:val="18"/>
                  <w:szCs w:val="18"/>
                </w:rPr>
                <w:t xml:space="preserve"> </w:t>
              </w:r>
              <w:smartTag w:uri="urn:schemas-microsoft-com:office:smarttags" w:element="PlaceType">
                <w:r>
                  <w:rPr>
                    <w:rFonts w:cs="Arial"/>
                    <w:sz w:val="18"/>
                    <w:szCs w:val="18"/>
                  </w:rPr>
                  <w:t>College</w:t>
                </w:r>
              </w:smartTag>
            </w:smartTag>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13.6</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9227D1">
            <w:pPr>
              <w:spacing w:before="60" w:after="60"/>
              <w:jc w:val="center"/>
              <w:rPr>
                <w:color w:val="3366FF"/>
                <w:sz w:val="18"/>
                <w:szCs w:val="18"/>
                <w:highlight w:val="yellow"/>
              </w:rPr>
            </w:pP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 xml:space="preserve">Nelson and </w:t>
            </w:r>
            <w:smartTag w:uri="urn:schemas-microsoft-com:office:smarttags" w:element="place">
              <w:smartTag w:uri="urn:schemas-microsoft-com:office:smarttags" w:element="PlaceName">
                <w:r>
                  <w:rPr>
                    <w:rFonts w:cs="Arial"/>
                    <w:sz w:val="18"/>
                    <w:szCs w:val="18"/>
                  </w:rPr>
                  <w:t>Colne</w:t>
                </w:r>
              </w:smartTag>
              <w:r>
                <w:rPr>
                  <w:rFonts w:cs="Arial"/>
                  <w:sz w:val="18"/>
                  <w:szCs w:val="18"/>
                </w:rPr>
                <w:t xml:space="preserve"> </w:t>
              </w:r>
              <w:smartTag w:uri="urn:schemas-microsoft-com:office:smarttags" w:element="PlaceType">
                <w:r>
                  <w:rPr>
                    <w:rFonts w:cs="Arial"/>
                    <w:sz w:val="18"/>
                    <w:szCs w:val="18"/>
                  </w:rPr>
                  <w:t>College</w:t>
                </w:r>
              </w:smartTag>
            </w:smartTag>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9227D1">
            <w:pPr>
              <w:spacing w:before="60" w:after="60"/>
              <w:jc w:val="center"/>
              <w:rPr>
                <w:color w:val="3366FF"/>
                <w:sz w:val="18"/>
                <w:szCs w:val="18"/>
                <w:highlight w:val="yellow"/>
              </w:rPr>
            </w:pP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New Fylde Housing</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42.3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54.8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42.3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54.8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42.3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54.8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9227D1">
            <w:pPr>
              <w:spacing w:before="60" w:after="60"/>
              <w:jc w:val="center"/>
              <w:rPr>
                <w:color w:val="3366FF"/>
                <w:sz w:val="18"/>
                <w:szCs w:val="18"/>
                <w:highlight w:val="yellow"/>
              </w:rPr>
            </w:pP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New Progress Housing</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9227D1">
            <w:pPr>
              <w:spacing w:before="60" w:after="60"/>
              <w:jc w:val="center"/>
              <w:rPr>
                <w:color w:val="3366FF"/>
                <w:sz w:val="18"/>
                <w:szCs w:val="18"/>
                <w:highlight w:val="yellow"/>
              </w:rPr>
            </w:pPr>
          </w:p>
        </w:tc>
      </w:tr>
    </w:tbl>
    <w:p w:rsidR="007D4ABB" w:rsidRPr="009A3AFE" w:rsidRDefault="007D4ABB" w:rsidP="00B8085C">
      <w:pPr>
        <w:spacing w:before="240"/>
        <w:rPr>
          <w:sz w:val="16"/>
          <w:highlight w:val="yellow"/>
        </w:rPr>
      </w:pPr>
    </w:p>
    <w:p w:rsidR="009227D1" w:rsidRDefault="009227D1"/>
    <w:p w:rsidR="009227D1" w:rsidRDefault="009227D1"/>
    <w:tbl>
      <w:tblPr>
        <w:tblpPr w:leftFromText="180" w:rightFromText="180" w:vertAnchor="page" w:horzAnchor="margin" w:tblpY="905"/>
        <w:tblW w:w="10286" w:type="dxa"/>
        <w:shd w:val="clear" w:color="auto" w:fill="F3F3F3"/>
        <w:tblLayout w:type="fixed"/>
        <w:tblLook w:val="0000"/>
      </w:tblPr>
      <w:tblGrid>
        <w:gridCol w:w="3194"/>
        <w:gridCol w:w="870"/>
        <w:gridCol w:w="870"/>
        <w:gridCol w:w="870"/>
        <w:gridCol w:w="870"/>
        <w:gridCol w:w="870"/>
        <w:gridCol w:w="870"/>
        <w:gridCol w:w="1872"/>
      </w:tblGrid>
      <w:tr w:rsidR="00F6079E" w:rsidRPr="009A3AFE" w:rsidTr="009227D1">
        <w:trPr>
          <w:cantSplit/>
          <w:trHeight w:val="1124"/>
        </w:trPr>
        <w:tc>
          <w:tcPr>
            <w:tcW w:w="3194" w:type="dxa"/>
            <w:tcBorders>
              <w:top w:val="single" w:sz="4" w:space="0" w:color="auto"/>
              <w:left w:val="single" w:sz="4" w:space="0" w:color="auto"/>
              <w:right w:val="single" w:sz="4" w:space="0" w:color="auto"/>
            </w:tcBorders>
            <w:shd w:val="clear" w:color="auto" w:fill="F3F3F3"/>
          </w:tcPr>
          <w:p w:rsidR="00F6079E" w:rsidRPr="009A3AFE" w:rsidRDefault="00F6079E" w:rsidP="00F6079E">
            <w:pPr>
              <w:rPr>
                <w:b/>
                <w:sz w:val="18"/>
                <w:highlight w:val="yellow"/>
              </w:rPr>
            </w:pPr>
          </w:p>
        </w:tc>
        <w:tc>
          <w:tcPr>
            <w:tcW w:w="17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A92013" w:rsidRDefault="00F6079E" w:rsidP="00F6079E">
            <w:pPr>
              <w:ind w:left="-108"/>
              <w:jc w:val="center"/>
              <w:rPr>
                <w:b/>
                <w:color w:val="000000"/>
                <w:sz w:val="18"/>
              </w:rPr>
            </w:pPr>
            <w:r w:rsidRPr="00A92013">
              <w:rPr>
                <w:b/>
                <w:color w:val="000000"/>
                <w:sz w:val="18"/>
              </w:rPr>
              <w:t>2011/12</w:t>
            </w:r>
          </w:p>
        </w:tc>
        <w:tc>
          <w:tcPr>
            <w:tcW w:w="17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A92013" w:rsidRDefault="00F6079E" w:rsidP="00F6079E">
            <w:pPr>
              <w:jc w:val="center"/>
              <w:rPr>
                <w:b/>
                <w:sz w:val="18"/>
              </w:rPr>
            </w:pPr>
            <w:r w:rsidRPr="00A92013">
              <w:rPr>
                <w:b/>
                <w:color w:val="000000"/>
                <w:sz w:val="18"/>
              </w:rPr>
              <w:t>2012/13</w:t>
            </w:r>
          </w:p>
        </w:tc>
        <w:tc>
          <w:tcPr>
            <w:tcW w:w="17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A92013" w:rsidRDefault="00F6079E" w:rsidP="00F6079E">
            <w:pPr>
              <w:jc w:val="center"/>
              <w:rPr>
                <w:b/>
                <w:sz w:val="18"/>
              </w:rPr>
            </w:pPr>
            <w:r w:rsidRPr="00A92013">
              <w:rPr>
                <w:b/>
                <w:color w:val="000000"/>
                <w:sz w:val="18"/>
                <w:szCs w:val="18"/>
              </w:rPr>
              <w:t>2013/14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A92013" w:rsidRDefault="00F6079E" w:rsidP="00F6079E">
            <w:pPr>
              <w:jc w:val="center"/>
              <w:rPr>
                <w:sz w:val="14"/>
                <w:szCs w:val="14"/>
              </w:rPr>
            </w:pPr>
            <w:r w:rsidRPr="00A92013">
              <w:rPr>
                <w:b/>
                <w:color w:val="000000"/>
                <w:sz w:val="18"/>
                <w:szCs w:val="18"/>
              </w:rPr>
              <w:t>Non-ill health early retirement allowance included for the 3 years 2011/14</w:t>
            </w:r>
          </w:p>
        </w:tc>
      </w:tr>
      <w:tr w:rsidR="00F6079E" w:rsidRPr="009A3AFE" w:rsidTr="007D4ABB">
        <w:trPr>
          <w:cantSplit/>
          <w:trHeight w:val="861"/>
        </w:trPr>
        <w:tc>
          <w:tcPr>
            <w:tcW w:w="3194" w:type="dxa"/>
            <w:tcBorders>
              <w:left w:val="single" w:sz="4" w:space="0" w:color="auto"/>
              <w:bottom w:val="single" w:sz="4" w:space="0" w:color="auto"/>
              <w:right w:val="single" w:sz="4" w:space="0" w:color="auto"/>
            </w:tcBorders>
            <w:shd w:val="clear" w:color="auto" w:fill="F3F3F3"/>
            <w:vAlign w:val="center"/>
          </w:tcPr>
          <w:p w:rsidR="00F6079E" w:rsidRPr="009A3AFE" w:rsidRDefault="00F6079E" w:rsidP="00F6079E">
            <w:pPr>
              <w:rPr>
                <w:b/>
                <w:sz w:val="18"/>
                <w:highlight w:val="yellow"/>
              </w:rPr>
            </w:pPr>
            <w:r w:rsidRPr="009227D1">
              <w:rPr>
                <w:b/>
                <w:sz w:val="18"/>
              </w:rPr>
              <w:t>Employers</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jc w:val="center"/>
              <w:rPr>
                <w:b/>
                <w:sz w:val="14"/>
              </w:rPr>
            </w:pPr>
            <w:r w:rsidRPr="00A92013">
              <w:rPr>
                <w:b/>
                <w:sz w:val="14"/>
              </w:rPr>
              <w:t>Individual Adjust-ment)</w:t>
            </w:r>
          </w:p>
          <w:p w:rsidR="00F6079E" w:rsidRPr="00A92013" w:rsidRDefault="00F6079E" w:rsidP="00F6079E">
            <w:pPr>
              <w:jc w:val="center"/>
              <w:rPr>
                <w:b/>
                <w:sz w:val="14"/>
              </w:rPr>
            </w:pP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jc w:val="center"/>
              <w:rPr>
                <w:b/>
                <w:sz w:val="14"/>
              </w:rPr>
            </w:pPr>
            <w:r w:rsidRPr="00A92013">
              <w:rPr>
                <w:b/>
                <w:sz w:val="14"/>
              </w:rPr>
              <w:t xml:space="preserve">Total Contribu-tion Rate </w:t>
            </w:r>
          </w:p>
          <w:p w:rsidR="00F6079E" w:rsidRPr="00A92013" w:rsidRDefault="00F6079E" w:rsidP="00F6079E">
            <w:pPr>
              <w:jc w:val="center"/>
              <w:rPr>
                <w:b/>
                <w:sz w:val="14"/>
              </w:rPr>
            </w:pP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A92013" w:rsidRDefault="00F6079E" w:rsidP="00F6079E">
            <w:pPr>
              <w:jc w:val="center"/>
              <w:rPr>
                <w:b/>
                <w:sz w:val="14"/>
              </w:rPr>
            </w:pPr>
            <w:r w:rsidRPr="00A92013">
              <w:rPr>
                <w:b/>
                <w:sz w:val="14"/>
              </w:rPr>
              <w:t>Individual Adjust-ment</w:t>
            </w:r>
            <w:r w:rsidRPr="00A92013">
              <w:rPr>
                <w:b/>
                <w:sz w:val="14"/>
              </w:rPr>
              <w:br/>
            </w: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jc w:val="center"/>
              <w:rPr>
                <w:b/>
                <w:sz w:val="14"/>
              </w:rPr>
            </w:pPr>
            <w:r w:rsidRPr="00A92013">
              <w:rPr>
                <w:b/>
                <w:sz w:val="14"/>
              </w:rPr>
              <w:t>Total Contribu-tion Rate</w:t>
            </w:r>
          </w:p>
          <w:p w:rsidR="00F6079E" w:rsidRPr="00A92013" w:rsidRDefault="00F6079E" w:rsidP="00F6079E">
            <w:pPr>
              <w:jc w:val="center"/>
              <w:rPr>
                <w:b/>
                <w:sz w:val="14"/>
              </w:rPr>
            </w:pP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A92013" w:rsidRDefault="00F6079E" w:rsidP="00F6079E">
            <w:pPr>
              <w:jc w:val="center"/>
              <w:rPr>
                <w:b/>
                <w:sz w:val="14"/>
              </w:rPr>
            </w:pPr>
            <w:r w:rsidRPr="00A92013">
              <w:rPr>
                <w:b/>
                <w:sz w:val="14"/>
              </w:rPr>
              <w:t>Individual Adjust-ment</w:t>
            </w:r>
            <w:r w:rsidRPr="00A92013">
              <w:rPr>
                <w:b/>
                <w:sz w:val="14"/>
              </w:rPr>
              <w:br/>
            </w: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B51B16" w:rsidRDefault="00F6079E" w:rsidP="00F6079E">
            <w:pPr>
              <w:jc w:val="center"/>
              <w:rPr>
                <w:b/>
                <w:sz w:val="14"/>
              </w:rPr>
            </w:pPr>
            <w:r w:rsidRPr="00B51B16">
              <w:rPr>
                <w:b/>
                <w:sz w:val="14"/>
              </w:rPr>
              <w:t>Total Contribu-tion Rate</w:t>
            </w:r>
          </w:p>
          <w:p w:rsidR="00F6079E" w:rsidRPr="00B51B16" w:rsidRDefault="00F6079E" w:rsidP="00F6079E">
            <w:pPr>
              <w:jc w:val="center"/>
              <w:rPr>
                <w:b/>
                <w:sz w:val="14"/>
              </w:rPr>
            </w:pPr>
            <w:r w:rsidRPr="00B51B16">
              <w:rPr>
                <w:b/>
                <w:sz w:val="14"/>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6079E" w:rsidRDefault="00F6079E" w:rsidP="00F6079E">
            <w:pPr>
              <w:jc w:val="center"/>
              <w:rPr>
                <w:b/>
                <w:sz w:val="14"/>
                <w:szCs w:val="14"/>
              </w:rPr>
            </w:pPr>
            <w:r w:rsidRPr="00F6079E">
              <w:rPr>
                <w:b/>
                <w:sz w:val="14"/>
                <w:szCs w:val="14"/>
              </w:rPr>
              <w:t>Amount</w:t>
            </w:r>
            <w:r w:rsidRPr="00F6079E">
              <w:rPr>
                <w:b/>
                <w:sz w:val="14"/>
                <w:szCs w:val="14"/>
              </w:rPr>
              <w:br/>
              <w:t>£</w:t>
            </w: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 xml:space="preserve">NHS PCT </w:t>
            </w:r>
            <w:smartTag w:uri="urn:schemas-microsoft-com:office:smarttags" w:element="place">
              <w:r>
                <w:rPr>
                  <w:rFonts w:cs="Arial"/>
                  <w:sz w:val="18"/>
                  <w:szCs w:val="18"/>
                </w:rPr>
                <w:t>Blackburn</w:t>
              </w:r>
            </w:smartTag>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NIC Services Group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smartTag w:uri="urn:schemas-microsoft-com:office:smarttags" w:element="PlaceName">
                <w:r>
                  <w:rPr>
                    <w:rFonts w:cs="Arial"/>
                    <w:sz w:val="18"/>
                    <w:szCs w:val="18"/>
                  </w:rPr>
                  <w:t>North</w:t>
                </w:r>
              </w:smartTag>
              <w:r>
                <w:rPr>
                  <w:rFonts w:cs="Arial"/>
                  <w:sz w:val="18"/>
                  <w:szCs w:val="18"/>
                </w:rPr>
                <w:t xml:space="preserve"> </w:t>
              </w:r>
              <w:smartTag w:uri="urn:schemas-microsoft-com:office:smarttags" w:element="PlaceName">
                <w:r>
                  <w:rPr>
                    <w:rFonts w:cs="Arial"/>
                    <w:sz w:val="18"/>
                    <w:szCs w:val="18"/>
                  </w:rPr>
                  <w:t>Western &amp; North</w:t>
                </w:r>
              </w:smartTag>
              <w:r>
                <w:rPr>
                  <w:rFonts w:cs="Arial"/>
                  <w:sz w:val="18"/>
                  <w:szCs w:val="18"/>
                </w:rPr>
                <w:t xml:space="preserve"> </w:t>
              </w:r>
              <w:smartTag w:uri="urn:schemas-microsoft-com:office:smarttags" w:element="PlaceName">
                <w:r>
                  <w:rPr>
                    <w:rFonts w:cs="Arial"/>
                    <w:sz w:val="18"/>
                    <w:szCs w:val="18"/>
                  </w:rPr>
                  <w:t>Wales</w:t>
                </w:r>
              </w:smartTag>
              <w:r>
                <w:rPr>
                  <w:rFonts w:cs="Arial"/>
                  <w:sz w:val="18"/>
                  <w:szCs w:val="18"/>
                </w:rPr>
                <w:t xml:space="preserve"> </w:t>
              </w:r>
              <w:smartTag w:uri="urn:schemas-microsoft-com:office:smarttags" w:element="PlaceType">
                <w:r>
                  <w:rPr>
                    <w:rFonts w:cs="Arial"/>
                    <w:sz w:val="18"/>
                    <w:szCs w:val="18"/>
                  </w:rPr>
                  <w:t>Sea</w:t>
                </w:r>
              </w:smartTag>
            </w:smartTag>
            <w:r>
              <w:rPr>
                <w:rFonts w:cs="Arial"/>
                <w:sz w:val="18"/>
                <w:szCs w:val="18"/>
              </w:rPr>
              <w:t xml:space="preserve"> Fisheries Committee</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25.9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25.9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25.9</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Northgate Managed Services</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12.6</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NSL Ltd (Lancaster)</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NSL Ltd (</w:t>
            </w:r>
            <w:smartTag w:uri="urn:schemas-microsoft-com:office:smarttags" w:element="place">
              <w:smartTag w:uri="urn:schemas-microsoft-com:office:smarttags" w:element="City">
                <w:r>
                  <w:rPr>
                    <w:rFonts w:cs="Arial"/>
                    <w:sz w:val="18"/>
                    <w:szCs w:val="18"/>
                  </w:rPr>
                  <w:t>Wyre</w:t>
                </w:r>
              </w:smartTag>
              <w:r>
                <w:rPr>
                  <w:rFonts w:cs="Arial"/>
                  <w:sz w:val="18"/>
                  <w:szCs w:val="18"/>
                </w:rPr>
                <w:t xml:space="preserve"> </w:t>
              </w:r>
              <w:smartTag w:uri="urn:schemas-microsoft-com:office:smarttags" w:element="State">
                <w:r>
                  <w:rPr>
                    <w:rFonts w:cs="Arial"/>
                    <w:sz w:val="18"/>
                    <w:szCs w:val="18"/>
                  </w:rPr>
                  <w:t>BC</w:t>
                </w:r>
              </w:smartTag>
            </w:smartTag>
            <w:r>
              <w:rPr>
                <w:rFonts w:cs="Arial"/>
                <w:sz w:val="18"/>
                <w:szCs w:val="18"/>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ind w:right="8"/>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Ormerod Home Trust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11.7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24.2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26.2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28.0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Our Lady Queen of Peace (Bullough Contract Services)</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Pendle Borough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24.6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26.6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28.7</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Pendle Leisure Trust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13.7</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Penwortham Town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Pilling Parish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r>
                <w:rPr>
                  <w:rFonts w:cs="Arial"/>
                  <w:sz w:val="18"/>
                  <w:szCs w:val="18"/>
                </w:rPr>
                <w:t>Preston</w:t>
              </w:r>
            </w:smartTag>
            <w:r>
              <w:rPr>
                <w:rFonts w:cs="Arial"/>
                <w:sz w:val="18"/>
                <w:szCs w:val="18"/>
              </w:rPr>
              <w:t xml:space="preserve"> Care and Repair</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6.0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6.0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6.0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r>
                <w:rPr>
                  <w:rFonts w:cs="Arial"/>
                  <w:sz w:val="18"/>
                  <w:szCs w:val="18"/>
                </w:rPr>
                <w:t>Preston</w:t>
              </w:r>
            </w:smartTag>
            <w:r>
              <w:rPr>
                <w:rFonts w:cs="Arial"/>
                <w:sz w:val="18"/>
                <w:szCs w:val="18"/>
              </w:rPr>
              <w:t xml:space="preserve"> City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5.6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6.1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6.6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19.1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smartTag w:uri="urn:schemas-microsoft-com:office:smarttags" w:element="PlaceName">
                <w:r>
                  <w:rPr>
                    <w:rFonts w:cs="Arial"/>
                    <w:sz w:val="18"/>
                    <w:szCs w:val="18"/>
                  </w:rPr>
                  <w:t>Preston</w:t>
                </w:r>
              </w:smartTag>
              <w:r>
                <w:rPr>
                  <w:rFonts w:cs="Arial"/>
                  <w:sz w:val="18"/>
                  <w:szCs w:val="18"/>
                </w:rPr>
                <w:t xml:space="preserve"> </w:t>
              </w:r>
              <w:smartTag w:uri="urn:schemas-microsoft-com:office:smarttags" w:element="PlaceType">
                <w:r>
                  <w:rPr>
                    <w:rFonts w:cs="Arial"/>
                    <w:sz w:val="18"/>
                    <w:szCs w:val="18"/>
                  </w:rPr>
                  <w:t>College</w:t>
                </w:r>
              </w:smartTag>
            </w:smartTag>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r>
                <w:rPr>
                  <w:rFonts w:cs="Arial"/>
                  <w:sz w:val="18"/>
                  <w:szCs w:val="18"/>
                </w:rPr>
                <w:t>Preston</w:t>
              </w:r>
            </w:smartTag>
            <w:r>
              <w:rPr>
                <w:rFonts w:cs="Arial"/>
                <w:sz w:val="18"/>
                <w:szCs w:val="18"/>
              </w:rPr>
              <w:t xml:space="preserve"> Council for Voluntary Services </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9.4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21.9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9.4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21.9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9.4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21.9</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Progress Care Housing</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Progress Housing Group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Progress Recruitments</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Queen Elizabeth's Grammar School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8.3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20.8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9.3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21.8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10.3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22.8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smartTag w:uri="urn:schemas-microsoft-com:office:smarttags" w:element="PlaceName">
                <w:r>
                  <w:rPr>
                    <w:rFonts w:cs="Arial"/>
                    <w:sz w:val="18"/>
                    <w:szCs w:val="18"/>
                  </w:rPr>
                  <w:t>Ribble</w:t>
                </w:r>
              </w:smartTag>
              <w:r>
                <w:rPr>
                  <w:rFonts w:cs="Arial"/>
                  <w:sz w:val="18"/>
                  <w:szCs w:val="18"/>
                </w:rPr>
                <w:t xml:space="preserve"> </w:t>
              </w:r>
              <w:smartTag w:uri="urn:schemas-microsoft-com:office:smarttags" w:element="PlaceType">
                <w:r>
                  <w:rPr>
                    <w:rFonts w:cs="Arial"/>
                    <w:sz w:val="18"/>
                    <w:szCs w:val="18"/>
                  </w:rPr>
                  <w:t>Valley</w:t>
                </w:r>
              </w:smartTag>
            </w:smartTag>
            <w:r>
              <w:rPr>
                <w:rFonts w:cs="Arial"/>
                <w:sz w:val="18"/>
                <w:szCs w:val="18"/>
              </w:rPr>
              <w:t xml:space="preserve"> Borough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Ribble Valley Homes</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Rossendale Borough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26.3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27.8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29.3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Rossendale Leisure Trust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14.6</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Rossendale Transport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10.7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23.2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19.3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31.8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27.8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40.3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smartTag w:uri="urn:schemas-microsoft-com:office:smarttags" w:element="PlaceName">
                <w:r>
                  <w:rPr>
                    <w:rFonts w:cs="Arial"/>
                    <w:sz w:val="18"/>
                    <w:szCs w:val="18"/>
                  </w:rPr>
                  <w:t>Runshaw</w:t>
                </w:r>
              </w:smartTag>
              <w:r>
                <w:rPr>
                  <w:rFonts w:cs="Arial"/>
                  <w:sz w:val="18"/>
                  <w:szCs w:val="18"/>
                </w:rPr>
                <w:t xml:space="preserve"> </w:t>
              </w:r>
              <w:smartTag w:uri="urn:schemas-microsoft-com:office:smarttags" w:element="PlaceType">
                <w:r>
                  <w:rPr>
                    <w:rFonts w:cs="Arial"/>
                    <w:sz w:val="18"/>
                    <w:szCs w:val="18"/>
                  </w:rPr>
                  <w:t>College</w:t>
                </w:r>
              </w:smartTag>
            </w:smartTag>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15.7</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1D3559">
            <w:pPr>
              <w:rPr>
                <w:rFonts w:cs="Arial"/>
                <w:sz w:val="18"/>
                <w:szCs w:val="18"/>
              </w:rPr>
            </w:pPr>
            <w:r>
              <w:rPr>
                <w:rFonts w:cs="Arial"/>
                <w:sz w:val="18"/>
                <w:szCs w:val="18"/>
              </w:rPr>
              <w:t>Sig</w:t>
            </w:r>
            <w:r w:rsidR="001D3559">
              <w:rPr>
                <w:rFonts w:cs="Arial"/>
                <w:sz w:val="18"/>
                <w:szCs w:val="18"/>
              </w:rPr>
              <w:t>n</w:t>
            </w:r>
            <w:r>
              <w:rPr>
                <w:rFonts w:cs="Arial"/>
                <w:sz w:val="18"/>
                <w:szCs w:val="18"/>
              </w:rPr>
              <w:t>posts MARC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bl>
    <w:p w:rsidR="007D4ABB" w:rsidRPr="009A3AFE" w:rsidRDefault="007D4ABB" w:rsidP="00B8085C">
      <w:pPr>
        <w:spacing w:before="240"/>
        <w:rPr>
          <w:sz w:val="16"/>
          <w:highlight w:val="yellow"/>
        </w:rPr>
      </w:pPr>
      <w:r w:rsidRPr="009A3AFE">
        <w:rPr>
          <w:sz w:val="16"/>
          <w:highlight w:val="yellow"/>
        </w:rPr>
        <w:br w:type="page"/>
      </w:r>
    </w:p>
    <w:tbl>
      <w:tblPr>
        <w:tblpPr w:leftFromText="180" w:rightFromText="180" w:vertAnchor="page" w:horzAnchor="margin" w:tblpY="905"/>
        <w:tblW w:w="10286" w:type="dxa"/>
        <w:shd w:val="clear" w:color="auto" w:fill="F3F3F3"/>
        <w:tblLayout w:type="fixed"/>
        <w:tblLook w:val="0000"/>
      </w:tblPr>
      <w:tblGrid>
        <w:gridCol w:w="3194"/>
        <w:gridCol w:w="870"/>
        <w:gridCol w:w="870"/>
        <w:gridCol w:w="870"/>
        <w:gridCol w:w="870"/>
        <w:gridCol w:w="870"/>
        <w:gridCol w:w="870"/>
        <w:gridCol w:w="1872"/>
      </w:tblGrid>
      <w:tr w:rsidR="00F6079E" w:rsidRPr="009A3AFE" w:rsidTr="00F6079E">
        <w:trPr>
          <w:cantSplit/>
          <w:trHeight w:val="1124"/>
        </w:trPr>
        <w:tc>
          <w:tcPr>
            <w:tcW w:w="3194" w:type="dxa"/>
            <w:tcBorders>
              <w:top w:val="single" w:sz="4" w:space="0" w:color="auto"/>
              <w:left w:val="single" w:sz="4" w:space="0" w:color="auto"/>
              <w:right w:val="single" w:sz="4" w:space="0" w:color="auto"/>
            </w:tcBorders>
            <w:shd w:val="clear" w:color="auto" w:fill="F3F3F3"/>
          </w:tcPr>
          <w:p w:rsidR="00F6079E" w:rsidRPr="009A3AFE" w:rsidRDefault="00F6079E" w:rsidP="00F6079E">
            <w:pPr>
              <w:rPr>
                <w:b/>
                <w:sz w:val="18"/>
                <w:highlight w:val="yellow"/>
              </w:rPr>
            </w:pPr>
          </w:p>
        </w:tc>
        <w:tc>
          <w:tcPr>
            <w:tcW w:w="17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A92013" w:rsidRDefault="00F6079E" w:rsidP="00F6079E">
            <w:pPr>
              <w:ind w:left="-108"/>
              <w:jc w:val="center"/>
              <w:rPr>
                <w:b/>
                <w:color w:val="000000"/>
                <w:sz w:val="18"/>
              </w:rPr>
            </w:pPr>
            <w:r w:rsidRPr="00A92013">
              <w:rPr>
                <w:b/>
                <w:color w:val="000000"/>
                <w:sz w:val="18"/>
              </w:rPr>
              <w:t>2011/12</w:t>
            </w:r>
          </w:p>
        </w:tc>
        <w:tc>
          <w:tcPr>
            <w:tcW w:w="17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A92013" w:rsidRDefault="00F6079E" w:rsidP="00F6079E">
            <w:pPr>
              <w:jc w:val="center"/>
              <w:rPr>
                <w:b/>
                <w:sz w:val="18"/>
              </w:rPr>
            </w:pPr>
            <w:r w:rsidRPr="00A92013">
              <w:rPr>
                <w:b/>
                <w:color w:val="000000"/>
                <w:sz w:val="18"/>
              </w:rPr>
              <w:t>2012/13</w:t>
            </w:r>
          </w:p>
        </w:tc>
        <w:tc>
          <w:tcPr>
            <w:tcW w:w="17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A92013" w:rsidRDefault="00F6079E" w:rsidP="00F6079E">
            <w:pPr>
              <w:jc w:val="center"/>
              <w:rPr>
                <w:b/>
                <w:sz w:val="18"/>
              </w:rPr>
            </w:pPr>
            <w:r w:rsidRPr="00A92013">
              <w:rPr>
                <w:b/>
                <w:color w:val="000000"/>
                <w:sz w:val="18"/>
                <w:szCs w:val="18"/>
              </w:rPr>
              <w:t>2013/14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A92013" w:rsidRDefault="00F6079E" w:rsidP="00F6079E">
            <w:pPr>
              <w:jc w:val="center"/>
              <w:rPr>
                <w:sz w:val="14"/>
                <w:szCs w:val="14"/>
              </w:rPr>
            </w:pPr>
            <w:r w:rsidRPr="00A92013">
              <w:rPr>
                <w:b/>
                <w:color w:val="000000"/>
                <w:sz w:val="18"/>
                <w:szCs w:val="18"/>
              </w:rPr>
              <w:t>Non-ill health early retirement allowance included for the 3 years 2011/14</w:t>
            </w:r>
          </w:p>
        </w:tc>
      </w:tr>
      <w:tr w:rsidR="00F6079E" w:rsidRPr="009A3AFE" w:rsidTr="007D4ABB">
        <w:trPr>
          <w:cantSplit/>
          <w:trHeight w:val="861"/>
        </w:trPr>
        <w:tc>
          <w:tcPr>
            <w:tcW w:w="3194" w:type="dxa"/>
            <w:tcBorders>
              <w:left w:val="single" w:sz="4" w:space="0" w:color="auto"/>
              <w:bottom w:val="single" w:sz="4" w:space="0" w:color="auto"/>
              <w:right w:val="single" w:sz="4" w:space="0" w:color="auto"/>
            </w:tcBorders>
            <w:shd w:val="clear" w:color="auto" w:fill="F3F3F3"/>
            <w:vAlign w:val="center"/>
          </w:tcPr>
          <w:p w:rsidR="00F6079E" w:rsidRPr="009A3AFE" w:rsidRDefault="00F6079E" w:rsidP="00F6079E">
            <w:pPr>
              <w:rPr>
                <w:b/>
                <w:sz w:val="18"/>
                <w:highlight w:val="yellow"/>
              </w:rPr>
            </w:pPr>
            <w:r w:rsidRPr="009227D1">
              <w:rPr>
                <w:b/>
                <w:sz w:val="18"/>
              </w:rPr>
              <w:t>Employers</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jc w:val="center"/>
              <w:rPr>
                <w:b/>
                <w:sz w:val="14"/>
              </w:rPr>
            </w:pPr>
            <w:r w:rsidRPr="00A92013">
              <w:rPr>
                <w:b/>
                <w:sz w:val="14"/>
              </w:rPr>
              <w:t>Individual Adjust-ment)</w:t>
            </w:r>
          </w:p>
          <w:p w:rsidR="00F6079E" w:rsidRPr="00A92013" w:rsidRDefault="00F6079E" w:rsidP="00F6079E">
            <w:pPr>
              <w:jc w:val="center"/>
              <w:rPr>
                <w:b/>
                <w:sz w:val="14"/>
              </w:rPr>
            </w:pP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jc w:val="center"/>
              <w:rPr>
                <w:b/>
                <w:sz w:val="14"/>
              </w:rPr>
            </w:pPr>
            <w:r w:rsidRPr="00A92013">
              <w:rPr>
                <w:b/>
                <w:sz w:val="14"/>
              </w:rPr>
              <w:t xml:space="preserve">Total Contribu-tion Rate </w:t>
            </w:r>
          </w:p>
          <w:p w:rsidR="00F6079E" w:rsidRPr="00A92013" w:rsidRDefault="00F6079E" w:rsidP="00F6079E">
            <w:pPr>
              <w:jc w:val="center"/>
              <w:rPr>
                <w:b/>
                <w:sz w:val="14"/>
              </w:rPr>
            </w:pP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A92013" w:rsidRDefault="00F6079E" w:rsidP="00F6079E">
            <w:pPr>
              <w:jc w:val="center"/>
              <w:rPr>
                <w:b/>
                <w:sz w:val="14"/>
              </w:rPr>
            </w:pPr>
            <w:r w:rsidRPr="00A92013">
              <w:rPr>
                <w:b/>
                <w:sz w:val="14"/>
              </w:rPr>
              <w:t>Individual Adjust-ment</w:t>
            </w:r>
            <w:r w:rsidRPr="00A92013">
              <w:rPr>
                <w:b/>
                <w:sz w:val="14"/>
              </w:rPr>
              <w:br/>
            </w: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jc w:val="center"/>
              <w:rPr>
                <w:b/>
                <w:sz w:val="14"/>
              </w:rPr>
            </w:pPr>
            <w:r w:rsidRPr="00A92013">
              <w:rPr>
                <w:b/>
                <w:sz w:val="14"/>
              </w:rPr>
              <w:t>Total Contribu-tion Rate</w:t>
            </w:r>
          </w:p>
          <w:p w:rsidR="00F6079E" w:rsidRPr="00A92013" w:rsidRDefault="00F6079E" w:rsidP="00F6079E">
            <w:pPr>
              <w:jc w:val="center"/>
              <w:rPr>
                <w:b/>
                <w:sz w:val="14"/>
              </w:rPr>
            </w:pP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A92013" w:rsidRDefault="00F6079E" w:rsidP="00F6079E">
            <w:pPr>
              <w:jc w:val="center"/>
              <w:rPr>
                <w:b/>
                <w:sz w:val="14"/>
              </w:rPr>
            </w:pPr>
            <w:r w:rsidRPr="00A92013">
              <w:rPr>
                <w:b/>
                <w:sz w:val="14"/>
              </w:rPr>
              <w:t>Individual Adjust-ment</w:t>
            </w:r>
            <w:r w:rsidRPr="00A92013">
              <w:rPr>
                <w:b/>
                <w:sz w:val="14"/>
              </w:rPr>
              <w:br/>
            </w: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B51B16" w:rsidRDefault="00F6079E" w:rsidP="00F6079E">
            <w:pPr>
              <w:jc w:val="center"/>
              <w:rPr>
                <w:b/>
                <w:sz w:val="14"/>
              </w:rPr>
            </w:pPr>
            <w:r w:rsidRPr="00B51B16">
              <w:rPr>
                <w:b/>
                <w:sz w:val="14"/>
              </w:rPr>
              <w:t>Total Contribu-tion Rate</w:t>
            </w:r>
          </w:p>
          <w:p w:rsidR="00F6079E" w:rsidRPr="00B51B16" w:rsidRDefault="00F6079E" w:rsidP="00F6079E">
            <w:pPr>
              <w:jc w:val="center"/>
              <w:rPr>
                <w:b/>
                <w:sz w:val="14"/>
              </w:rPr>
            </w:pPr>
            <w:r w:rsidRPr="00B51B16">
              <w:rPr>
                <w:b/>
                <w:sz w:val="14"/>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A92013" w:rsidRDefault="00F6079E" w:rsidP="00F6079E">
            <w:pPr>
              <w:jc w:val="center"/>
              <w:rPr>
                <w:sz w:val="14"/>
                <w:szCs w:val="14"/>
              </w:rPr>
            </w:pPr>
            <w:r w:rsidRPr="00F6079E">
              <w:rPr>
                <w:b/>
                <w:sz w:val="14"/>
                <w:szCs w:val="14"/>
              </w:rPr>
              <w:t>Amount</w:t>
            </w:r>
            <w:r w:rsidRPr="00F6079E">
              <w:rPr>
                <w:b/>
                <w:sz w:val="14"/>
                <w:szCs w:val="14"/>
              </w:rPr>
              <w:br/>
            </w:r>
            <w:r w:rsidRPr="00A92013">
              <w:rPr>
                <w:sz w:val="14"/>
                <w:szCs w:val="14"/>
              </w:rPr>
              <w:t>£</w:t>
            </w: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Solar Facilities (Bishop Raws)</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Solar Facilities (Ripley)</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8.5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21.0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8.5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21.0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8.5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21.0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Solar Facilities (Seven Stars)</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15.9</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Solar Facilities (</w:t>
            </w:r>
            <w:smartTag w:uri="urn:schemas-microsoft-com:office:smarttags" w:element="place">
              <w:smartTag w:uri="urn:schemas-microsoft-com:office:smarttags" w:element="City">
                <w:r>
                  <w:rPr>
                    <w:rFonts w:cs="Arial"/>
                    <w:sz w:val="18"/>
                    <w:szCs w:val="18"/>
                  </w:rPr>
                  <w:t>St Peters</w:t>
                </w:r>
              </w:smartTag>
            </w:smartTag>
            <w:r>
              <w:rPr>
                <w:rFonts w:cs="Arial"/>
                <w:sz w:val="18"/>
                <w:szCs w:val="18"/>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9.5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9.5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9.5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Solar Facilities (Tarelton)</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13.9</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South Ribble Borough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6.8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19.3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7.8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20.3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8.8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21.3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ind w:right="8"/>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rPr>
                <w:rFonts w:cs="Arial"/>
                <w:sz w:val="18"/>
                <w:szCs w:val="18"/>
              </w:rPr>
            </w:pPr>
            <w:r w:rsidRPr="00F91505">
              <w:rPr>
                <w:rFonts w:cs="Arial"/>
                <w:sz w:val="18"/>
                <w:szCs w:val="18"/>
              </w:rPr>
              <w:t>South Ribble Community Leisure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10.4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22.9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10.4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22.9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10.4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22.9</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St Anne's on Sea Town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11.1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11.1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11.1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Surestart Hyndburn</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11.5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Twin Valley Homes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smartTag w:uri="urn:schemas-microsoft-com:office:smarttags" w:element="PlaceType">
                <w:r>
                  <w:rPr>
                    <w:rFonts w:cs="Arial"/>
                    <w:sz w:val="18"/>
                    <w:szCs w:val="18"/>
                  </w:rPr>
                  <w:t>University</w:t>
                </w:r>
              </w:smartTag>
              <w:r>
                <w:rPr>
                  <w:rFonts w:cs="Arial"/>
                  <w:sz w:val="18"/>
                  <w:szCs w:val="18"/>
                </w:rPr>
                <w:t xml:space="preserve"> of </w:t>
              </w:r>
              <w:smartTag w:uri="urn:schemas-microsoft-com:office:smarttags" w:element="PlaceName">
                <w:r>
                  <w:rPr>
                    <w:rFonts w:cs="Arial"/>
                    <w:sz w:val="18"/>
                    <w:szCs w:val="18"/>
                  </w:rPr>
                  <w:t>Central Lancashire</w:t>
                </w:r>
              </w:smartTag>
            </w:smartTag>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smartTag w:uri="urn:schemas-microsoft-com:office:smarttags" w:element="PlaceType">
                <w:r>
                  <w:rPr>
                    <w:rFonts w:cs="Arial"/>
                    <w:sz w:val="18"/>
                    <w:szCs w:val="18"/>
                  </w:rPr>
                  <w:t>University</w:t>
                </w:r>
              </w:smartTag>
              <w:r>
                <w:rPr>
                  <w:rFonts w:cs="Arial"/>
                  <w:sz w:val="18"/>
                  <w:szCs w:val="18"/>
                </w:rPr>
                <w:t xml:space="preserve"> of </w:t>
              </w:r>
              <w:smartTag w:uri="urn:schemas-microsoft-com:office:smarttags" w:element="PlaceName">
                <w:r>
                  <w:rPr>
                    <w:rFonts w:cs="Arial"/>
                    <w:sz w:val="18"/>
                    <w:szCs w:val="18"/>
                  </w:rPr>
                  <w:t>Cumbria</w:t>
                </w:r>
              </w:smartTag>
            </w:smartTag>
            <w:r>
              <w:rPr>
                <w:rFonts w:cs="Arial"/>
                <w:sz w:val="18"/>
                <w:szCs w:val="18"/>
              </w:rPr>
              <w:t xml:space="preserve"> (was St Martins College)</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Vita Lend Lease BSF ICT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12.7</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Vita Lend Lease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r>
                <w:rPr>
                  <w:rFonts w:cs="Arial"/>
                  <w:sz w:val="18"/>
                  <w:szCs w:val="18"/>
                </w:rPr>
                <w:t>West Lancashire</w:t>
              </w:r>
            </w:smartTag>
            <w:r>
              <w:rPr>
                <w:rFonts w:cs="Arial"/>
                <w:sz w:val="18"/>
                <w:szCs w:val="18"/>
              </w:rPr>
              <w:t xml:space="preserve"> Borough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7.5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20.0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7.5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20.0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7.5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20.0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rPr>
                <w:rFonts w:cs="Arial"/>
                <w:sz w:val="18"/>
                <w:szCs w:val="18"/>
              </w:rPr>
            </w:pPr>
            <w:r w:rsidRPr="00F91505">
              <w:rPr>
                <w:rFonts w:cs="Arial"/>
                <w:sz w:val="18"/>
                <w:szCs w:val="18"/>
              </w:rPr>
              <w:t>West Lancashire Community Leisure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12.0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12.0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12.0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Whitworth Town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Wyre Borough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25.1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25.1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25.1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Wyre Housing Association</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57.8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70.3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57.8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70.3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57.8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70.3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bl>
    <w:p w:rsidR="00A67129" w:rsidRPr="009A3AFE" w:rsidRDefault="007D4ABB" w:rsidP="00A67129">
      <w:pPr>
        <w:spacing w:before="240"/>
        <w:rPr>
          <w:sz w:val="16"/>
          <w:highlight w:val="yellow"/>
        </w:rPr>
      </w:pPr>
      <w:r w:rsidRPr="009A3AFE">
        <w:rPr>
          <w:sz w:val="16"/>
          <w:highlight w:val="yellow"/>
        </w:rPr>
        <w:br w:type="page"/>
      </w:r>
    </w:p>
    <w:p w:rsidR="00FD3A07" w:rsidRPr="00F6079E" w:rsidRDefault="00FD3A07" w:rsidP="00A67129">
      <w:pPr>
        <w:spacing w:before="240"/>
        <w:rPr>
          <w:sz w:val="16"/>
        </w:rPr>
      </w:pPr>
      <w:r w:rsidRPr="00F6079E">
        <w:rPr>
          <w:b/>
          <w:color w:val="000000"/>
          <w:sz w:val="18"/>
        </w:rPr>
        <w:t>Other interested bodies with no pensionable employees</w:t>
      </w:r>
    </w:p>
    <w:p w:rsidR="00FD3A07" w:rsidRPr="009A3AFE" w:rsidRDefault="00FD3A07" w:rsidP="00FD3A07">
      <w:pPr>
        <w:rPr>
          <w:color w:val="0000FF"/>
          <w:highlight w:val="yellow"/>
        </w:rPr>
      </w:pPr>
    </w:p>
    <w:tbl>
      <w:tblPr>
        <w:tblW w:w="10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28"/>
        <w:gridCol w:w="1440"/>
        <w:gridCol w:w="360"/>
        <w:gridCol w:w="3510"/>
        <w:gridCol w:w="1457"/>
      </w:tblGrid>
      <w:tr w:rsidR="00FD3A07" w:rsidRPr="009A3AFE">
        <w:trPr>
          <w:trHeight w:val="1061"/>
        </w:trPr>
        <w:tc>
          <w:tcPr>
            <w:tcW w:w="3528" w:type="dxa"/>
            <w:shd w:val="clear" w:color="auto" w:fill="F3F3F3"/>
            <w:vAlign w:val="center"/>
          </w:tcPr>
          <w:p w:rsidR="00FD3A07" w:rsidRPr="00916CF6" w:rsidRDefault="00FD3A07" w:rsidP="00D25355">
            <w:pPr>
              <w:rPr>
                <w:b/>
                <w:color w:val="000000"/>
                <w:sz w:val="16"/>
              </w:rPr>
            </w:pPr>
            <w:r w:rsidRPr="00916CF6">
              <w:rPr>
                <w:b/>
                <w:color w:val="000000"/>
                <w:sz w:val="16"/>
              </w:rPr>
              <w:t>Former Employers</w:t>
            </w:r>
          </w:p>
        </w:tc>
        <w:tc>
          <w:tcPr>
            <w:tcW w:w="1440" w:type="dxa"/>
            <w:shd w:val="clear" w:color="auto" w:fill="F3F3F3"/>
            <w:vAlign w:val="center"/>
          </w:tcPr>
          <w:p w:rsidR="00FD3A07" w:rsidRPr="00916CF6" w:rsidRDefault="00FD3A07" w:rsidP="00D25355">
            <w:pPr>
              <w:jc w:val="center"/>
              <w:rPr>
                <w:b/>
                <w:color w:val="000000"/>
                <w:sz w:val="16"/>
              </w:rPr>
            </w:pPr>
            <w:r w:rsidRPr="00916CF6">
              <w:rPr>
                <w:b/>
                <w:color w:val="000000"/>
                <w:sz w:val="16"/>
              </w:rPr>
              <w:t>Proportion of Pension Increases to be Recharged</w:t>
            </w:r>
            <w:r w:rsidRPr="00916CF6">
              <w:rPr>
                <w:b/>
                <w:color w:val="000000"/>
                <w:sz w:val="16"/>
              </w:rPr>
              <w:br/>
              <w:t>%</w:t>
            </w:r>
          </w:p>
        </w:tc>
        <w:tc>
          <w:tcPr>
            <w:tcW w:w="360" w:type="dxa"/>
            <w:tcBorders>
              <w:top w:val="nil"/>
              <w:bottom w:val="nil"/>
            </w:tcBorders>
          </w:tcPr>
          <w:p w:rsidR="00FD3A07" w:rsidRPr="009A3AFE" w:rsidRDefault="00FD3A07" w:rsidP="00D25355">
            <w:pPr>
              <w:rPr>
                <w:b/>
                <w:color w:val="0000FF"/>
                <w:sz w:val="16"/>
                <w:highlight w:val="yellow"/>
              </w:rPr>
            </w:pPr>
          </w:p>
        </w:tc>
        <w:tc>
          <w:tcPr>
            <w:tcW w:w="3510" w:type="dxa"/>
            <w:shd w:val="clear" w:color="auto" w:fill="F3F3F3"/>
            <w:vAlign w:val="center"/>
          </w:tcPr>
          <w:p w:rsidR="00FD3A07" w:rsidRPr="00916CF6" w:rsidRDefault="00FD3A07" w:rsidP="00D25355">
            <w:pPr>
              <w:rPr>
                <w:b/>
                <w:color w:val="000000"/>
                <w:sz w:val="16"/>
              </w:rPr>
            </w:pPr>
            <w:r w:rsidRPr="00916CF6">
              <w:rPr>
                <w:b/>
                <w:color w:val="000000"/>
                <w:sz w:val="16"/>
              </w:rPr>
              <w:t>Former Employers</w:t>
            </w:r>
          </w:p>
        </w:tc>
        <w:tc>
          <w:tcPr>
            <w:tcW w:w="1457" w:type="dxa"/>
            <w:shd w:val="clear" w:color="auto" w:fill="F3F3F3"/>
            <w:vAlign w:val="center"/>
          </w:tcPr>
          <w:p w:rsidR="00FD3A07" w:rsidRPr="00916CF6" w:rsidRDefault="00FD3A07" w:rsidP="00D25355">
            <w:pPr>
              <w:jc w:val="center"/>
              <w:rPr>
                <w:b/>
                <w:color w:val="000000"/>
                <w:sz w:val="16"/>
              </w:rPr>
            </w:pPr>
            <w:r w:rsidRPr="00916CF6">
              <w:rPr>
                <w:b/>
                <w:color w:val="000000"/>
                <w:sz w:val="16"/>
              </w:rPr>
              <w:t>Proportion of Pension Increases to be Recharged</w:t>
            </w:r>
            <w:r w:rsidRPr="00916CF6">
              <w:rPr>
                <w:b/>
                <w:color w:val="000000"/>
                <w:sz w:val="16"/>
              </w:rPr>
              <w:br/>
              <w:t>%</w:t>
            </w:r>
          </w:p>
        </w:tc>
      </w:tr>
      <w:tr w:rsidR="00916CF6" w:rsidRPr="009A3AFE" w:rsidTr="00916CF6">
        <w:trPr>
          <w:trHeight w:hRule="exact" w:val="442"/>
        </w:trPr>
        <w:tc>
          <w:tcPr>
            <w:tcW w:w="3528" w:type="dxa"/>
            <w:shd w:val="clear" w:color="auto" w:fill="F3F3F3"/>
            <w:vAlign w:val="center"/>
          </w:tcPr>
          <w:p w:rsidR="00916CF6" w:rsidRDefault="00916CF6" w:rsidP="00916CF6">
            <w:pPr>
              <w:rPr>
                <w:rFonts w:cs="Arial"/>
                <w:sz w:val="20"/>
              </w:rPr>
            </w:pPr>
            <w:r>
              <w:rPr>
                <w:rFonts w:cs="Arial"/>
                <w:sz w:val="20"/>
              </w:rPr>
              <w:t>Alzheimer's Society</w:t>
            </w:r>
          </w:p>
        </w:tc>
        <w:tc>
          <w:tcPr>
            <w:tcW w:w="1440" w:type="dxa"/>
            <w:shd w:val="clear" w:color="auto" w:fill="F3F3F3"/>
            <w:vAlign w:val="center"/>
          </w:tcPr>
          <w:p w:rsidR="00916CF6" w:rsidRDefault="00916CF6" w:rsidP="00916CF6">
            <w:pPr>
              <w:rPr>
                <w:rFonts w:cs="Arial"/>
                <w:sz w:val="20"/>
              </w:rPr>
            </w:pPr>
            <w:r>
              <w:rPr>
                <w:rFonts w:cs="Arial"/>
                <w:sz w:val="20"/>
              </w:rPr>
              <w:t>See notes</w:t>
            </w:r>
          </w:p>
        </w:tc>
        <w:tc>
          <w:tcPr>
            <w:tcW w:w="360" w:type="dxa"/>
            <w:tcBorders>
              <w:top w:val="nil"/>
              <w:bottom w:val="nil"/>
            </w:tcBorders>
            <w:vAlign w:val="center"/>
          </w:tcPr>
          <w:p w:rsidR="00916CF6" w:rsidRPr="009A3AFE" w:rsidRDefault="00916CF6" w:rsidP="00916CF6">
            <w:pPr>
              <w:rPr>
                <w:color w:val="0000FF"/>
                <w:sz w:val="16"/>
                <w:highlight w:val="yellow"/>
              </w:rPr>
            </w:pPr>
          </w:p>
        </w:tc>
        <w:tc>
          <w:tcPr>
            <w:tcW w:w="3510" w:type="dxa"/>
            <w:shd w:val="clear" w:color="auto" w:fill="F3F3F3"/>
            <w:vAlign w:val="center"/>
          </w:tcPr>
          <w:p w:rsidR="00916CF6" w:rsidRDefault="00916CF6" w:rsidP="00916CF6">
            <w:pPr>
              <w:rPr>
                <w:rFonts w:cs="Arial"/>
                <w:sz w:val="20"/>
              </w:rPr>
            </w:pPr>
            <w:r>
              <w:rPr>
                <w:rFonts w:cs="Arial"/>
                <w:sz w:val="20"/>
              </w:rPr>
              <w:t>Ex Department of Transport</w:t>
            </w:r>
          </w:p>
        </w:tc>
        <w:tc>
          <w:tcPr>
            <w:tcW w:w="1457" w:type="dxa"/>
            <w:shd w:val="clear" w:color="auto" w:fill="F3F3F3"/>
            <w:vAlign w:val="center"/>
          </w:tcPr>
          <w:p w:rsidR="00916CF6" w:rsidRDefault="00916CF6" w:rsidP="00916CF6">
            <w:pPr>
              <w:rPr>
                <w:rFonts w:cs="Arial"/>
                <w:sz w:val="20"/>
              </w:rPr>
            </w:pPr>
            <w:r>
              <w:rPr>
                <w:rFonts w:cs="Arial"/>
                <w:sz w:val="20"/>
              </w:rPr>
              <w:t>100</w:t>
            </w:r>
          </w:p>
        </w:tc>
      </w:tr>
      <w:tr w:rsidR="00916CF6" w:rsidRPr="009A3AFE" w:rsidTr="00916CF6">
        <w:trPr>
          <w:trHeight w:hRule="exact" w:val="442"/>
        </w:trPr>
        <w:tc>
          <w:tcPr>
            <w:tcW w:w="3528" w:type="dxa"/>
            <w:shd w:val="clear" w:color="auto" w:fill="F3F3F3"/>
            <w:vAlign w:val="center"/>
          </w:tcPr>
          <w:p w:rsidR="00916CF6" w:rsidRDefault="00916CF6" w:rsidP="00916CF6">
            <w:pPr>
              <w:rPr>
                <w:rFonts w:cs="Arial"/>
                <w:sz w:val="20"/>
              </w:rPr>
            </w:pPr>
            <w:r>
              <w:rPr>
                <w:rFonts w:cs="Arial"/>
                <w:sz w:val="20"/>
              </w:rPr>
              <w:t>Barnoldswick Town Council</w:t>
            </w:r>
          </w:p>
        </w:tc>
        <w:tc>
          <w:tcPr>
            <w:tcW w:w="1440" w:type="dxa"/>
            <w:shd w:val="clear" w:color="auto" w:fill="F3F3F3"/>
            <w:vAlign w:val="center"/>
          </w:tcPr>
          <w:p w:rsidR="00916CF6" w:rsidRDefault="00916CF6" w:rsidP="00916CF6">
            <w:pPr>
              <w:rPr>
                <w:rFonts w:cs="Arial"/>
                <w:sz w:val="20"/>
              </w:rPr>
            </w:pPr>
            <w:r>
              <w:rPr>
                <w:rFonts w:cs="Arial"/>
                <w:sz w:val="20"/>
              </w:rPr>
              <w:t>See notes</w:t>
            </w:r>
          </w:p>
        </w:tc>
        <w:tc>
          <w:tcPr>
            <w:tcW w:w="360" w:type="dxa"/>
            <w:tcBorders>
              <w:top w:val="nil"/>
              <w:bottom w:val="nil"/>
            </w:tcBorders>
            <w:vAlign w:val="center"/>
          </w:tcPr>
          <w:p w:rsidR="00916CF6" w:rsidRPr="009A3AFE" w:rsidRDefault="00916CF6" w:rsidP="00916CF6">
            <w:pPr>
              <w:rPr>
                <w:color w:val="0000FF"/>
                <w:sz w:val="16"/>
                <w:highlight w:val="yellow"/>
              </w:rPr>
            </w:pPr>
          </w:p>
        </w:tc>
        <w:tc>
          <w:tcPr>
            <w:tcW w:w="3510" w:type="dxa"/>
            <w:shd w:val="clear" w:color="auto" w:fill="F3F3F3"/>
            <w:vAlign w:val="center"/>
          </w:tcPr>
          <w:p w:rsidR="00916CF6" w:rsidRDefault="00916CF6" w:rsidP="00916CF6">
            <w:pPr>
              <w:rPr>
                <w:rFonts w:cs="Arial"/>
                <w:sz w:val="20"/>
              </w:rPr>
            </w:pPr>
            <w:r>
              <w:rPr>
                <w:rFonts w:cs="Arial"/>
                <w:sz w:val="20"/>
              </w:rPr>
              <w:t>Ex National Health Service</w:t>
            </w:r>
          </w:p>
        </w:tc>
        <w:tc>
          <w:tcPr>
            <w:tcW w:w="1457" w:type="dxa"/>
            <w:shd w:val="clear" w:color="auto" w:fill="F3F3F3"/>
            <w:vAlign w:val="center"/>
          </w:tcPr>
          <w:p w:rsidR="00916CF6" w:rsidRDefault="00916CF6" w:rsidP="00916CF6">
            <w:pPr>
              <w:rPr>
                <w:rFonts w:cs="Arial"/>
                <w:sz w:val="20"/>
              </w:rPr>
            </w:pPr>
            <w:r>
              <w:rPr>
                <w:rFonts w:cs="Arial"/>
                <w:sz w:val="20"/>
              </w:rPr>
              <w:t>100</w:t>
            </w:r>
          </w:p>
        </w:tc>
      </w:tr>
      <w:tr w:rsidR="00916CF6" w:rsidRPr="009A3AFE" w:rsidTr="00916CF6">
        <w:trPr>
          <w:trHeight w:hRule="exact" w:val="442"/>
        </w:trPr>
        <w:tc>
          <w:tcPr>
            <w:tcW w:w="3528" w:type="dxa"/>
            <w:shd w:val="clear" w:color="auto" w:fill="F3F3F3"/>
            <w:vAlign w:val="center"/>
          </w:tcPr>
          <w:p w:rsidR="00916CF6" w:rsidRPr="006B6D08" w:rsidRDefault="00916CF6" w:rsidP="00916CF6">
            <w:pPr>
              <w:rPr>
                <w:rFonts w:cs="Arial"/>
                <w:sz w:val="20"/>
              </w:rPr>
            </w:pPr>
            <w:smartTag w:uri="urn:schemas-microsoft-com:office:smarttags" w:element="place">
              <w:r w:rsidRPr="006B6D08">
                <w:rPr>
                  <w:rFonts w:cs="Arial"/>
                  <w:sz w:val="20"/>
                </w:rPr>
                <w:t>Blackpool</w:t>
              </w:r>
            </w:smartTag>
            <w:r w:rsidRPr="006B6D08">
              <w:rPr>
                <w:rFonts w:cs="Arial"/>
                <w:sz w:val="20"/>
              </w:rPr>
              <w:t xml:space="preserve"> &amp; Fylde Mind Association</w:t>
            </w:r>
          </w:p>
        </w:tc>
        <w:tc>
          <w:tcPr>
            <w:tcW w:w="1440" w:type="dxa"/>
            <w:shd w:val="clear" w:color="auto" w:fill="F3F3F3"/>
            <w:vAlign w:val="center"/>
          </w:tcPr>
          <w:p w:rsidR="00916CF6" w:rsidRDefault="00916CF6" w:rsidP="00916CF6">
            <w:pPr>
              <w:rPr>
                <w:rFonts w:cs="Arial"/>
                <w:sz w:val="20"/>
              </w:rPr>
            </w:pPr>
            <w:r>
              <w:rPr>
                <w:rFonts w:cs="Arial"/>
                <w:sz w:val="20"/>
              </w:rPr>
              <w:t>See notes</w:t>
            </w:r>
          </w:p>
        </w:tc>
        <w:tc>
          <w:tcPr>
            <w:tcW w:w="360" w:type="dxa"/>
            <w:tcBorders>
              <w:top w:val="nil"/>
              <w:bottom w:val="nil"/>
            </w:tcBorders>
            <w:vAlign w:val="center"/>
          </w:tcPr>
          <w:p w:rsidR="00916CF6" w:rsidRPr="009A3AFE" w:rsidRDefault="00916CF6" w:rsidP="00916CF6">
            <w:pPr>
              <w:rPr>
                <w:color w:val="0000FF"/>
                <w:sz w:val="16"/>
                <w:highlight w:val="yellow"/>
              </w:rPr>
            </w:pPr>
          </w:p>
        </w:tc>
        <w:tc>
          <w:tcPr>
            <w:tcW w:w="3510" w:type="dxa"/>
            <w:shd w:val="clear" w:color="auto" w:fill="F3F3F3"/>
            <w:vAlign w:val="center"/>
          </w:tcPr>
          <w:p w:rsidR="00916CF6" w:rsidRDefault="00916CF6" w:rsidP="00916CF6">
            <w:pPr>
              <w:rPr>
                <w:rFonts w:cs="Arial"/>
                <w:sz w:val="20"/>
              </w:rPr>
            </w:pPr>
            <w:r>
              <w:rPr>
                <w:rFonts w:cs="Arial"/>
                <w:sz w:val="20"/>
              </w:rPr>
              <w:t>Ex National Water Council</w:t>
            </w:r>
          </w:p>
        </w:tc>
        <w:tc>
          <w:tcPr>
            <w:tcW w:w="1457" w:type="dxa"/>
            <w:shd w:val="clear" w:color="auto" w:fill="F3F3F3"/>
            <w:vAlign w:val="center"/>
          </w:tcPr>
          <w:p w:rsidR="00916CF6" w:rsidRDefault="00916CF6" w:rsidP="00916CF6">
            <w:pPr>
              <w:rPr>
                <w:rFonts w:cs="Arial"/>
                <w:sz w:val="20"/>
              </w:rPr>
            </w:pPr>
            <w:r>
              <w:rPr>
                <w:rFonts w:cs="Arial"/>
                <w:sz w:val="20"/>
              </w:rPr>
              <w:t>100</w:t>
            </w:r>
          </w:p>
        </w:tc>
      </w:tr>
      <w:tr w:rsidR="00916CF6" w:rsidRPr="009A3AFE" w:rsidTr="00916CF6">
        <w:trPr>
          <w:trHeight w:hRule="exact" w:val="578"/>
        </w:trPr>
        <w:tc>
          <w:tcPr>
            <w:tcW w:w="3528" w:type="dxa"/>
            <w:shd w:val="clear" w:color="auto" w:fill="F3F3F3"/>
            <w:vAlign w:val="center"/>
          </w:tcPr>
          <w:p w:rsidR="00916CF6" w:rsidRDefault="00916CF6" w:rsidP="00916CF6">
            <w:pPr>
              <w:rPr>
                <w:rFonts w:cs="Arial"/>
                <w:sz w:val="20"/>
              </w:rPr>
            </w:pPr>
            <w:smartTag w:uri="urn:schemas-microsoft-com:office:smarttags" w:element="place">
              <w:r>
                <w:rPr>
                  <w:rFonts w:cs="Arial"/>
                  <w:sz w:val="20"/>
                </w:rPr>
                <w:t>Blackpool</w:t>
              </w:r>
            </w:smartTag>
            <w:r>
              <w:rPr>
                <w:rFonts w:cs="Arial"/>
                <w:sz w:val="20"/>
              </w:rPr>
              <w:t xml:space="preserve"> &amp; Fylde Society for the Deaf</w:t>
            </w:r>
          </w:p>
        </w:tc>
        <w:tc>
          <w:tcPr>
            <w:tcW w:w="1440" w:type="dxa"/>
            <w:shd w:val="clear" w:color="auto" w:fill="F3F3F3"/>
            <w:vAlign w:val="center"/>
          </w:tcPr>
          <w:p w:rsidR="00916CF6" w:rsidRDefault="00916CF6" w:rsidP="00916CF6">
            <w:pPr>
              <w:rPr>
                <w:rFonts w:cs="Arial"/>
                <w:sz w:val="20"/>
              </w:rPr>
            </w:pPr>
            <w:r>
              <w:rPr>
                <w:rFonts w:cs="Arial"/>
                <w:sz w:val="20"/>
              </w:rPr>
              <w:t>100</w:t>
            </w:r>
          </w:p>
        </w:tc>
        <w:tc>
          <w:tcPr>
            <w:tcW w:w="360" w:type="dxa"/>
            <w:tcBorders>
              <w:top w:val="nil"/>
              <w:bottom w:val="nil"/>
            </w:tcBorders>
            <w:vAlign w:val="center"/>
          </w:tcPr>
          <w:p w:rsidR="00916CF6" w:rsidRPr="009A3AFE" w:rsidRDefault="00916CF6" w:rsidP="00916CF6">
            <w:pPr>
              <w:rPr>
                <w:color w:val="0000FF"/>
                <w:sz w:val="16"/>
                <w:highlight w:val="yellow"/>
              </w:rPr>
            </w:pPr>
          </w:p>
        </w:tc>
        <w:tc>
          <w:tcPr>
            <w:tcW w:w="3510" w:type="dxa"/>
            <w:shd w:val="clear" w:color="auto" w:fill="F3F3F3"/>
            <w:vAlign w:val="center"/>
          </w:tcPr>
          <w:p w:rsidR="00916CF6" w:rsidRDefault="00916CF6" w:rsidP="00916CF6">
            <w:pPr>
              <w:rPr>
                <w:rFonts w:cs="Arial"/>
                <w:sz w:val="20"/>
              </w:rPr>
            </w:pPr>
            <w:smartTag w:uri="urn:schemas-microsoft-com:office:smarttags" w:element="place">
              <w:smartTag w:uri="urn:schemas-microsoft-com:office:smarttags" w:element="PlaceName">
                <w:r>
                  <w:rPr>
                    <w:rFonts w:cs="Arial"/>
                    <w:sz w:val="20"/>
                  </w:rPr>
                  <w:t>Fylde</w:t>
                </w:r>
              </w:smartTag>
              <w:r>
                <w:rPr>
                  <w:rFonts w:cs="Arial"/>
                  <w:sz w:val="20"/>
                </w:rPr>
                <w:t xml:space="preserve"> </w:t>
              </w:r>
              <w:smartTag w:uri="urn:schemas-microsoft-com:office:smarttags" w:element="PlaceType">
                <w:r>
                  <w:rPr>
                    <w:rFonts w:cs="Arial"/>
                    <w:sz w:val="20"/>
                  </w:rPr>
                  <w:t>Coast</w:t>
                </w:r>
              </w:smartTag>
            </w:smartTag>
            <w:r>
              <w:rPr>
                <w:rFonts w:cs="Arial"/>
                <w:sz w:val="20"/>
              </w:rPr>
              <w:t xml:space="preserve"> Development Association</w:t>
            </w:r>
          </w:p>
        </w:tc>
        <w:tc>
          <w:tcPr>
            <w:tcW w:w="1457" w:type="dxa"/>
            <w:shd w:val="clear" w:color="auto" w:fill="F3F3F3"/>
            <w:vAlign w:val="center"/>
          </w:tcPr>
          <w:p w:rsidR="00916CF6" w:rsidRDefault="00916CF6" w:rsidP="00916CF6">
            <w:pPr>
              <w:rPr>
                <w:rFonts w:cs="Arial"/>
                <w:sz w:val="20"/>
              </w:rPr>
            </w:pPr>
            <w:r>
              <w:rPr>
                <w:rFonts w:cs="Arial"/>
                <w:sz w:val="20"/>
              </w:rPr>
              <w:t>100</w:t>
            </w:r>
          </w:p>
        </w:tc>
      </w:tr>
      <w:tr w:rsidR="00916CF6" w:rsidRPr="009A3AFE" w:rsidTr="00916CF6">
        <w:trPr>
          <w:trHeight w:hRule="exact" w:val="558"/>
        </w:trPr>
        <w:tc>
          <w:tcPr>
            <w:tcW w:w="3528" w:type="dxa"/>
            <w:shd w:val="clear" w:color="auto" w:fill="F3F3F3"/>
            <w:vAlign w:val="center"/>
          </w:tcPr>
          <w:p w:rsidR="00916CF6" w:rsidRDefault="00916CF6" w:rsidP="00916CF6">
            <w:pPr>
              <w:rPr>
                <w:rFonts w:cs="Arial"/>
                <w:sz w:val="20"/>
              </w:rPr>
            </w:pPr>
            <w:r>
              <w:rPr>
                <w:rFonts w:cs="Arial"/>
                <w:sz w:val="20"/>
              </w:rPr>
              <w:t xml:space="preserve">Blackpool Town Centre Forum Ltd  </w:t>
            </w:r>
          </w:p>
        </w:tc>
        <w:tc>
          <w:tcPr>
            <w:tcW w:w="1440" w:type="dxa"/>
            <w:shd w:val="clear" w:color="auto" w:fill="F3F3F3"/>
            <w:vAlign w:val="center"/>
          </w:tcPr>
          <w:p w:rsidR="00916CF6" w:rsidRDefault="00916CF6" w:rsidP="00916CF6">
            <w:pPr>
              <w:rPr>
                <w:rFonts w:cs="Arial"/>
                <w:sz w:val="20"/>
              </w:rPr>
            </w:pPr>
            <w:r>
              <w:rPr>
                <w:rFonts w:cs="Arial"/>
                <w:sz w:val="20"/>
              </w:rPr>
              <w:t>See notes</w:t>
            </w:r>
          </w:p>
        </w:tc>
        <w:tc>
          <w:tcPr>
            <w:tcW w:w="360" w:type="dxa"/>
            <w:tcBorders>
              <w:top w:val="nil"/>
              <w:bottom w:val="nil"/>
            </w:tcBorders>
            <w:vAlign w:val="center"/>
          </w:tcPr>
          <w:p w:rsidR="00916CF6" w:rsidRPr="009A3AFE" w:rsidRDefault="00916CF6" w:rsidP="00916CF6">
            <w:pPr>
              <w:rPr>
                <w:color w:val="0000FF"/>
                <w:sz w:val="16"/>
                <w:highlight w:val="yellow"/>
              </w:rPr>
            </w:pPr>
          </w:p>
        </w:tc>
        <w:tc>
          <w:tcPr>
            <w:tcW w:w="3510" w:type="dxa"/>
            <w:shd w:val="clear" w:color="auto" w:fill="F3F3F3"/>
            <w:vAlign w:val="center"/>
          </w:tcPr>
          <w:p w:rsidR="00916CF6" w:rsidRDefault="00916CF6" w:rsidP="00916CF6">
            <w:pPr>
              <w:rPr>
                <w:rFonts w:cs="Arial"/>
                <w:sz w:val="20"/>
              </w:rPr>
            </w:pPr>
            <w:smartTag w:uri="urn:schemas-microsoft-com:office:smarttags" w:element="place">
              <w:r>
                <w:rPr>
                  <w:rFonts w:cs="Arial"/>
                  <w:sz w:val="20"/>
                </w:rPr>
                <w:t>Lancashire</w:t>
              </w:r>
            </w:smartTag>
            <w:r>
              <w:rPr>
                <w:rFonts w:cs="Arial"/>
                <w:sz w:val="20"/>
              </w:rPr>
              <w:t xml:space="preserve"> South East Probation Committee</w:t>
            </w:r>
          </w:p>
        </w:tc>
        <w:tc>
          <w:tcPr>
            <w:tcW w:w="1457" w:type="dxa"/>
            <w:shd w:val="clear" w:color="auto" w:fill="F3F3F3"/>
            <w:vAlign w:val="center"/>
          </w:tcPr>
          <w:p w:rsidR="00916CF6" w:rsidRDefault="00916CF6" w:rsidP="00916CF6">
            <w:pPr>
              <w:rPr>
                <w:rFonts w:cs="Arial"/>
                <w:sz w:val="20"/>
              </w:rPr>
            </w:pPr>
            <w:r>
              <w:rPr>
                <w:rFonts w:cs="Arial"/>
                <w:sz w:val="20"/>
              </w:rPr>
              <w:t>100</w:t>
            </w:r>
          </w:p>
        </w:tc>
      </w:tr>
      <w:tr w:rsidR="00916CF6" w:rsidRPr="009A3AFE" w:rsidTr="00916CF6">
        <w:trPr>
          <w:trHeight w:hRule="exact" w:val="442"/>
        </w:trPr>
        <w:tc>
          <w:tcPr>
            <w:tcW w:w="3528" w:type="dxa"/>
            <w:shd w:val="clear" w:color="auto" w:fill="F3F3F3"/>
            <w:vAlign w:val="center"/>
          </w:tcPr>
          <w:p w:rsidR="00916CF6" w:rsidRDefault="00916CF6" w:rsidP="00916CF6">
            <w:pPr>
              <w:rPr>
                <w:rFonts w:cs="Arial"/>
                <w:sz w:val="20"/>
              </w:rPr>
            </w:pPr>
            <w:r>
              <w:rPr>
                <w:rFonts w:cs="Arial"/>
                <w:sz w:val="20"/>
              </w:rPr>
              <w:t>Bulloughs (</w:t>
            </w:r>
            <w:smartTag w:uri="urn:schemas-microsoft-com:office:smarttags" w:element="place">
              <w:r>
                <w:rPr>
                  <w:rFonts w:cs="Arial"/>
                  <w:sz w:val="20"/>
                </w:rPr>
                <w:t>St Albans</w:t>
              </w:r>
            </w:smartTag>
            <w:r>
              <w:rPr>
                <w:rFonts w:cs="Arial"/>
                <w:sz w:val="20"/>
              </w:rPr>
              <w:t>)</w:t>
            </w:r>
          </w:p>
        </w:tc>
        <w:tc>
          <w:tcPr>
            <w:tcW w:w="1440" w:type="dxa"/>
            <w:shd w:val="clear" w:color="auto" w:fill="F3F3F3"/>
            <w:vAlign w:val="center"/>
          </w:tcPr>
          <w:p w:rsidR="00916CF6" w:rsidRDefault="00916CF6" w:rsidP="00916CF6">
            <w:pPr>
              <w:rPr>
                <w:rFonts w:cs="Arial"/>
                <w:sz w:val="20"/>
              </w:rPr>
            </w:pPr>
            <w:r>
              <w:rPr>
                <w:rFonts w:cs="Arial"/>
                <w:sz w:val="20"/>
              </w:rPr>
              <w:t>See notes</w:t>
            </w:r>
          </w:p>
        </w:tc>
        <w:tc>
          <w:tcPr>
            <w:tcW w:w="360" w:type="dxa"/>
            <w:tcBorders>
              <w:top w:val="nil"/>
              <w:bottom w:val="nil"/>
            </w:tcBorders>
            <w:vAlign w:val="center"/>
          </w:tcPr>
          <w:p w:rsidR="00916CF6" w:rsidRPr="009A3AFE" w:rsidRDefault="00916CF6" w:rsidP="00916CF6">
            <w:pPr>
              <w:rPr>
                <w:color w:val="0000FF"/>
                <w:sz w:val="16"/>
                <w:highlight w:val="yellow"/>
              </w:rPr>
            </w:pPr>
          </w:p>
        </w:tc>
        <w:tc>
          <w:tcPr>
            <w:tcW w:w="3510" w:type="dxa"/>
            <w:shd w:val="clear" w:color="auto" w:fill="F3F3F3"/>
            <w:vAlign w:val="center"/>
          </w:tcPr>
          <w:p w:rsidR="00916CF6" w:rsidRDefault="00916CF6" w:rsidP="00916CF6">
            <w:pPr>
              <w:rPr>
                <w:rFonts w:cs="Arial"/>
                <w:sz w:val="20"/>
              </w:rPr>
            </w:pPr>
            <w:smartTag w:uri="urn:schemas-microsoft-com:office:smarttags" w:element="place">
              <w:r>
                <w:rPr>
                  <w:rFonts w:cs="Arial"/>
                  <w:sz w:val="20"/>
                </w:rPr>
                <w:t>Lancashire</w:t>
              </w:r>
            </w:smartTag>
            <w:r>
              <w:rPr>
                <w:rFonts w:cs="Arial"/>
                <w:sz w:val="20"/>
              </w:rPr>
              <w:t xml:space="preserve"> Valuation Tribunal</w:t>
            </w:r>
          </w:p>
        </w:tc>
        <w:tc>
          <w:tcPr>
            <w:tcW w:w="1457" w:type="dxa"/>
            <w:shd w:val="clear" w:color="auto" w:fill="F3F3F3"/>
            <w:vAlign w:val="center"/>
          </w:tcPr>
          <w:p w:rsidR="00916CF6" w:rsidRDefault="00916CF6" w:rsidP="00916CF6">
            <w:pPr>
              <w:rPr>
                <w:rFonts w:cs="Arial"/>
                <w:sz w:val="20"/>
              </w:rPr>
            </w:pPr>
            <w:r>
              <w:rPr>
                <w:rFonts w:cs="Arial"/>
                <w:sz w:val="20"/>
              </w:rPr>
              <w:t>See notes</w:t>
            </w:r>
          </w:p>
        </w:tc>
      </w:tr>
      <w:tr w:rsidR="00916CF6" w:rsidRPr="009A3AFE" w:rsidTr="00916CF6">
        <w:trPr>
          <w:trHeight w:hRule="exact" w:val="442"/>
        </w:trPr>
        <w:tc>
          <w:tcPr>
            <w:tcW w:w="3528" w:type="dxa"/>
            <w:shd w:val="clear" w:color="auto" w:fill="F3F3F3"/>
            <w:vAlign w:val="center"/>
          </w:tcPr>
          <w:p w:rsidR="00916CF6" w:rsidRDefault="00916CF6" w:rsidP="00916CF6">
            <w:pPr>
              <w:rPr>
                <w:rFonts w:cs="Arial"/>
                <w:sz w:val="20"/>
              </w:rPr>
            </w:pPr>
            <w:r>
              <w:rPr>
                <w:rFonts w:cs="Arial"/>
                <w:sz w:val="20"/>
              </w:rPr>
              <w:t>Burnley &amp; Pendle Development Association</w:t>
            </w:r>
          </w:p>
        </w:tc>
        <w:tc>
          <w:tcPr>
            <w:tcW w:w="1440" w:type="dxa"/>
            <w:shd w:val="clear" w:color="auto" w:fill="F3F3F3"/>
            <w:vAlign w:val="center"/>
          </w:tcPr>
          <w:p w:rsidR="00916CF6" w:rsidRDefault="00916CF6" w:rsidP="00916CF6">
            <w:pPr>
              <w:rPr>
                <w:rFonts w:cs="Arial"/>
                <w:sz w:val="20"/>
              </w:rPr>
            </w:pPr>
            <w:r>
              <w:rPr>
                <w:rFonts w:cs="Arial"/>
                <w:sz w:val="20"/>
              </w:rPr>
              <w:t>100</w:t>
            </w:r>
          </w:p>
        </w:tc>
        <w:tc>
          <w:tcPr>
            <w:tcW w:w="360" w:type="dxa"/>
            <w:tcBorders>
              <w:top w:val="nil"/>
              <w:bottom w:val="nil"/>
            </w:tcBorders>
            <w:vAlign w:val="center"/>
          </w:tcPr>
          <w:p w:rsidR="00916CF6" w:rsidRPr="009A3AFE" w:rsidRDefault="00916CF6" w:rsidP="00916CF6">
            <w:pPr>
              <w:rPr>
                <w:color w:val="0000FF"/>
                <w:sz w:val="16"/>
                <w:highlight w:val="yellow"/>
              </w:rPr>
            </w:pPr>
          </w:p>
        </w:tc>
        <w:tc>
          <w:tcPr>
            <w:tcW w:w="3510" w:type="dxa"/>
            <w:shd w:val="clear" w:color="auto" w:fill="F3F3F3"/>
            <w:vAlign w:val="center"/>
          </w:tcPr>
          <w:p w:rsidR="00916CF6" w:rsidRDefault="00916CF6" w:rsidP="00916CF6">
            <w:pPr>
              <w:rPr>
                <w:rFonts w:cs="Arial"/>
                <w:sz w:val="20"/>
              </w:rPr>
            </w:pPr>
            <w:r>
              <w:rPr>
                <w:rFonts w:cs="Arial"/>
                <w:sz w:val="20"/>
              </w:rPr>
              <w:t>New Directions</w:t>
            </w:r>
          </w:p>
        </w:tc>
        <w:tc>
          <w:tcPr>
            <w:tcW w:w="1457" w:type="dxa"/>
            <w:shd w:val="clear" w:color="auto" w:fill="F3F3F3"/>
            <w:vAlign w:val="center"/>
          </w:tcPr>
          <w:p w:rsidR="00916CF6" w:rsidRDefault="00916CF6" w:rsidP="00916CF6">
            <w:pPr>
              <w:rPr>
                <w:rFonts w:cs="Arial"/>
                <w:sz w:val="20"/>
              </w:rPr>
            </w:pPr>
            <w:r>
              <w:rPr>
                <w:rFonts w:cs="Arial"/>
                <w:sz w:val="20"/>
              </w:rPr>
              <w:t>See notes</w:t>
            </w:r>
          </w:p>
        </w:tc>
      </w:tr>
      <w:tr w:rsidR="00916CF6" w:rsidRPr="009A3AFE" w:rsidTr="00916CF6">
        <w:trPr>
          <w:trHeight w:hRule="exact" w:val="442"/>
        </w:trPr>
        <w:tc>
          <w:tcPr>
            <w:tcW w:w="3528" w:type="dxa"/>
            <w:shd w:val="clear" w:color="auto" w:fill="F3F3F3"/>
            <w:vAlign w:val="center"/>
          </w:tcPr>
          <w:p w:rsidR="00916CF6" w:rsidRDefault="00916CF6" w:rsidP="00916CF6">
            <w:pPr>
              <w:rPr>
                <w:rFonts w:cs="Arial"/>
                <w:sz w:val="20"/>
              </w:rPr>
            </w:pPr>
            <w:smartTag w:uri="urn:schemas-microsoft-com:office:smarttags" w:element="place">
              <w:smartTag w:uri="urn:schemas-microsoft-com:office:smarttags" w:element="City">
                <w:r>
                  <w:rPr>
                    <w:rFonts w:cs="Arial"/>
                    <w:sz w:val="20"/>
                  </w:rPr>
                  <w:t>Burton</w:t>
                </w:r>
              </w:smartTag>
            </w:smartTag>
            <w:r>
              <w:rPr>
                <w:rFonts w:cs="Arial"/>
                <w:sz w:val="20"/>
              </w:rPr>
              <w:t xml:space="preserve"> Manor Residential College</w:t>
            </w:r>
          </w:p>
        </w:tc>
        <w:tc>
          <w:tcPr>
            <w:tcW w:w="1440" w:type="dxa"/>
            <w:shd w:val="clear" w:color="auto" w:fill="F3F3F3"/>
            <w:vAlign w:val="center"/>
          </w:tcPr>
          <w:p w:rsidR="00916CF6" w:rsidRDefault="00916CF6" w:rsidP="00916CF6">
            <w:pPr>
              <w:rPr>
                <w:rFonts w:cs="Arial"/>
                <w:sz w:val="20"/>
              </w:rPr>
            </w:pPr>
            <w:r>
              <w:rPr>
                <w:rFonts w:cs="Arial"/>
                <w:sz w:val="20"/>
              </w:rPr>
              <w:t>100</w:t>
            </w:r>
          </w:p>
        </w:tc>
        <w:tc>
          <w:tcPr>
            <w:tcW w:w="360" w:type="dxa"/>
            <w:tcBorders>
              <w:top w:val="nil"/>
              <w:bottom w:val="nil"/>
            </w:tcBorders>
            <w:vAlign w:val="center"/>
          </w:tcPr>
          <w:p w:rsidR="00916CF6" w:rsidRPr="009A3AFE" w:rsidRDefault="00916CF6" w:rsidP="00916CF6">
            <w:pPr>
              <w:rPr>
                <w:color w:val="0000FF"/>
                <w:sz w:val="16"/>
                <w:highlight w:val="yellow"/>
              </w:rPr>
            </w:pPr>
          </w:p>
        </w:tc>
        <w:tc>
          <w:tcPr>
            <w:tcW w:w="3510" w:type="dxa"/>
            <w:shd w:val="clear" w:color="auto" w:fill="F3F3F3"/>
            <w:vAlign w:val="center"/>
          </w:tcPr>
          <w:p w:rsidR="00916CF6" w:rsidRDefault="00916CF6" w:rsidP="00916CF6">
            <w:pPr>
              <w:rPr>
                <w:rFonts w:cs="Arial"/>
                <w:sz w:val="20"/>
              </w:rPr>
            </w:pPr>
            <w:r>
              <w:rPr>
                <w:rFonts w:cs="Arial"/>
                <w:sz w:val="20"/>
              </w:rPr>
              <w:t>Preston Vision Ltd</w:t>
            </w:r>
          </w:p>
        </w:tc>
        <w:tc>
          <w:tcPr>
            <w:tcW w:w="1457" w:type="dxa"/>
            <w:shd w:val="clear" w:color="auto" w:fill="F3F3F3"/>
            <w:vAlign w:val="center"/>
          </w:tcPr>
          <w:p w:rsidR="00916CF6" w:rsidRDefault="00916CF6" w:rsidP="00916CF6">
            <w:pPr>
              <w:rPr>
                <w:rFonts w:cs="Arial"/>
                <w:sz w:val="20"/>
              </w:rPr>
            </w:pPr>
            <w:r>
              <w:rPr>
                <w:rFonts w:cs="Arial"/>
                <w:sz w:val="20"/>
              </w:rPr>
              <w:t>See notes</w:t>
            </w:r>
          </w:p>
        </w:tc>
      </w:tr>
      <w:tr w:rsidR="00916CF6" w:rsidRPr="009A3AFE" w:rsidTr="00916CF6">
        <w:trPr>
          <w:trHeight w:hRule="exact" w:val="442"/>
        </w:trPr>
        <w:tc>
          <w:tcPr>
            <w:tcW w:w="3528" w:type="dxa"/>
            <w:shd w:val="clear" w:color="auto" w:fill="F3F3F3"/>
            <w:vAlign w:val="center"/>
          </w:tcPr>
          <w:p w:rsidR="00916CF6" w:rsidRDefault="00916CF6" w:rsidP="00916CF6">
            <w:pPr>
              <w:rPr>
                <w:rFonts w:cs="Arial"/>
                <w:sz w:val="20"/>
              </w:rPr>
            </w:pPr>
            <w:r>
              <w:rPr>
                <w:rFonts w:cs="Arial"/>
                <w:sz w:val="20"/>
              </w:rPr>
              <w:t>Carden Croft Ltd</w:t>
            </w:r>
          </w:p>
        </w:tc>
        <w:tc>
          <w:tcPr>
            <w:tcW w:w="1440" w:type="dxa"/>
            <w:shd w:val="clear" w:color="auto" w:fill="F3F3F3"/>
            <w:vAlign w:val="center"/>
          </w:tcPr>
          <w:p w:rsidR="00916CF6" w:rsidRDefault="00916CF6" w:rsidP="00916CF6">
            <w:pPr>
              <w:rPr>
                <w:rFonts w:cs="Arial"/>
                <w:sz w:val="20"/>
              </w:rPr>
            </w:pPr>
            <w:r>
              <w:rPr>
                <w:rFonts w:cs="Arial"/>
                <w:sz w:val="20"/>
              </w:rPr>
              <w:t>See notes</w:t>
            </w:r>
          </w:p>
        </w:tc>
        <w:tc>
          <w:tcPr>
            <w:tcW w:w="360" w:type="dxa"/>
            <w:tcBorders>
              <w:top w:val="nil"/>
              <w:bottom w:val="nil"/>
            </w:tcBorders>
            <w:vAlign w:val="center"/>
          </w:tcPr>
          <w:p w:rsidR="00916CF6" w:rsidRPr="009A3AFE" w:rsidRDefault="00916CF6" w:rsidP="00916CF6">
            <w:pPr>
              <w:rPr>
                <w:color w:val="0000FF"/>
                <w:sz w:val="16"/>
                <w:highlight w:val="yellow"/>
              </w:rPr>
            </w:pPr>
          </w:p>
        </w:tc>
        <w:tc>
          <w:tcPr>
            <w:tcW w:w="3510" w:type="dxa"/>
            <w:shd w:val="clear" w:color="auto" w:fill="F3F3F3"/>
            <w:vAlign w:val="center"/>
          </w:tcPr>
          <w:p w:rsidR="00916CF6" w:rsidRDefault="00916CF6" w:rsidP="00916CF6">
            <w:pPr>
              <w:rPr>
                <w:rFonts w:cs="Arial"/>
                <w:sz w:val="20"/>
              </w:rPr>
            </w:pPr>
            <w:r>
              <w:rPr>
                <w:rFonts w:cs="Arial"/>
                <w:sz w:val="20"/>
              </w:rPr>
              <w:t>Salmesbury &amp; Cuerdale Parish Council</w:t>
            </w:r>
          </w:p>
        </w:tc>
        <w:tc>
          <w:tcPr>
            <w:tcW w:w="1457" w:type="dxa"/>
            <w:shd w:val="clear" w:color="auto" w:fill="F3F3F3"/>
            <w:vAlign w:val="center"/>
          </w:tcPr>
          <w:p w:rsidR="00916CF6" w:rsidRDefault="00916CF6" w:rsidP="00916CF6">
            <w:pPr>
              <w:rPr>
                <w:rFonts w:cs="Arial"/>
                <w:sz w:val="20"/>
              </w:rPr>
            </w:pPr>
            <w:r>
              <w:rPr>
                <w:rFonts w:cs="Arial"/>
                <w:sz w:val="20"/>
              </w:rPr>
              <w:t>See notes</w:t>
            </w:r>
          </w:p>
        </w:tc>
      </w:tr>
      <w:tr w:rsidR="00916CF6" w:rsidRPr="009A3AFE" w:rsidTr="00916CF6">
        <w:trPr>
          <w:trHeight w:hRule="exact" w:val="604"/>
        </w:trPr>
        <w:tc>
          <w:tcPr>
            <w:tcW w:w="3528" w:type="dxa"/>
            <w:shd w:val="clear" w:color="auto" w:fill="F3F3F3"/>
            <w:vAlign w:val="center"/>
          </w:tcPr>
          <w:p w:rsidR="00916CF6" w:rsidRPr="006B6D08" w:rsidRDefault="00916CF6" w:rsidP="00916CF6">
            <w:pPr>
              <w:rPr>
                <w:rFonts w:cs="Arial"/>
                <w:sz w:val="20"/>
              </w:rPr>
            </w:pPr>
            <w:r w:rsidRPr="006B6D08">
              <w:rPr>
                <w:rFonts w:cs="Arial"/>
                <w:sz w:val="20"/>
              </w:rPr>
              <w:t xml:space="preserve">Community </w:t>
            </w:r>
            <w:smartTag w:uri="urn:schemas-microsoft-com:office:smarttags" w:element="City">
              <w:smartTag w:uri="urn:schemas-microsoft-com:office:smarttags" w:element="place">
                <w:r w:rsidRPr="006B6D08">
                  <w:rPr>
                    <w:rFonts w:cs="Arial"/>
                    <w:sz w:val="20"/>
                  </w:rPr>
                  <w:t>Alliance</w:t>
                </w:r>
              </w:smartTag>
            </w:smartTag>
            <w:r w:rsidRPr="006B6D08">
              <w:rPr>
                <w:rFonts w:cs="Arial"/>
                <w:sz w:val="20"/>
              </w:rPr>
              <w:t xml:space="preserve"> (Burnley &amp; Padiham) Ltd</w:t>
            </w:r>
          </w:p>
        </w:tc>
        <w:tc>
          <w:tcPr>
            <w:tcW w:w="1440" w:type="dxa"/>
            <w:shd w:val="clear" w:color="auto" w:fill="F3F3F3"/>
            <w:vAlign w:val="center"/>
          </w:tcPr>
          <w:p w:rsidR="00916CF6" w:rsidRDefault="00916CF6" w:rsidP="00916CF6">
            <w:pPr>
              <w:rPr>
                <w:rFonts w:cs="Arial"/>
                <w:sz w:val="20"/>
              </w:rPr>
            </w:pPr>
            <w:r>
              <w:rPr>
                <w:rFonts w:cs="Arial"/>
                <w:sz w:val="20"/>
              </w:rPr>
              <w:t>See notes</w:t>
            </w:r>
          </w:p>
        </w:tc>
        <w:tc>
          <w:tcPr>
            <w:tcW w:w="360" w:type="dxa"/>
            <w:tcBorders>
              <w:top w:val="nil"/>
              <w:bottom w:val="nil"/>
            </w:tcBorders>
            <w:vAlign w:val="center"/>
          </w:tcPr>
          <w:p w:rsidR="00916CF6" w:rsidRPr="009A3AFE" w:rsidRDefault="00916CF6" w:rsidP="00916CF6">
            <w:pPr>
              <w:rPr>
                <w:color w:val="0000FF"/>
                <w:sz w:val="16"/>
                <w:highlight w:val="yellow"/>
              </w:rPr>
            </w:pPr>
          </w:p>
        </w:tc>
        <w:tc>
          <w:tcPr>
            <w:tcW w:w="3510" w:type="dxa"/>
            <w:shd w:val="clear" w:color="auto" w:fill="F3F3F3"/>
            <w:vAlign w:val="center"/>
          </w:tcPr>
          <w:p w:rsidR="00916CF6" w:rsidRDefault="00916CF6" w:rsidP="00916CF6">
            <w:pPr>
              <w:rPr>
                <w:rFonts w:cs="Arial"/>
                <w:sz w:val="20"/>
              </w:rPr>
            </w:pPr>
            <w:smartTag w:uri="urn:schemas-microsoft-com:office:smarttags" w:element="place">
              <w:smartTag w:uri="urn:schemas-microsoft-com:office:smarttags" w:element="PlaceName">
                <w:r>
                  <w:rPr>
                    <w:rFonts w:cs="Arial"/>
                    <w:sz w:val="20"/>
                  </w:rPr>
                  <w:t>Skelmersdale</w:t>
                </w:r>
              </w:smartTag>
              <w:r>
                <w:rPr>
                  <w:rFonts w:cs="Arial"/>
                  <w:sz w:val="20"/>
                </w:rPr>
                <w:t xml:space="preserve"> </w:t>
              </w:r>
              <w:smartTag w:uri="urn:schemas-microsoft-com:office:smarttags" w:element="PlaceType">
                <w:r>
                  <w:rPr>
                    <w:rFonts w:cs="Arial"/>
                    <w:sz w:val="20"/>
                  </w:rPr>
                  <w:t>College</w:t>
                </w:r>
              </w:smartTag>
            </w:smartTag>
          </w:p>
        </w:tc>
        <w:tc>
          <w:tcPr>
            <w:tcW w:w="1457" w:type="dxa"/>
            <w:shd w:val="clear" w:color="auto" w:fill="F3F3F3"/>
            <w:vAlign w:val="center"/>
          </w:tcPr>
          <w:p w:rsidR="00916CF6" w:rsidRDefault="00916CF6" w:rsidP="00916CF6">
            <w:pPr>
              <w:rPr>
                <w:rFonts w:cs="Arial"/>
                <w:sz w:val="20"/>
              </w:rPr>
            </w:pPr>
            <w:r>
              <w:rPr>
                <w:rFonts w:cs="Arial"/>
                <w:sz w:val="20"/>
              </w:rPr>
              <w:t>See notes</w:t>
            </w:r>
          </w:p>
        </w:tc>
      </w:tr>
      <w:tr w:rsidR="00916CF6" w:rsidRPr="009A3AFE" w:rsidTr="00916CF6">
        <w:trPr>
          <w:trHeight w:hRule="exact" w:val="442"/>
        </w:trPr>
        <w:tc>
          <w:tcPr>
            <w:tcW w:w="3528" w:type="dxa"/>
            <w:shd w:val="clear" w:color="auto" w:fill="F3F3F3"/>
            <w:vAlign w:val="center"/>
          </w:tcPr>
          <w:p w:rsidR="00916CF6" w:rsidRDefault="00916CF6" w:rsidP="00916CF6">
            <w:pPr>
              <w:rPr>
                <w:rFonts w:cs="Arial"/>
                <w:sz w:val="20"/>
              </w:rPr>
            </w:pPr>
            <w:r>
              <w:rPr>
                <w:rFonts w:cs="Arial"/>
                <w:sz w:val="20"/>
              </w:rPr>
              <w:t>CSB Contract Services</w:t>
            </w:r>
          </w:p>
        </w:tc>
        <w:tc>
          <w:tcPr>
            <w:tcW w:w="1440" w:type="dxa"/>
            <w:shd w:val="clear" w:color="auto" w:fill="F3F3F3"/>
            <w:vAlign w:val="center"/>
          </w:tcPr>
          <w:p w:rsidR="00916CF6" w:rsidRDefault="00916CF6" w:rsidP="00916CF6">
            <w:pPr>
              <w:rPr>
                <w:rFonts w:cs="Arial"/>
                <w:sz w:val="20"/>
              </w:rPr>
            </w:pPr>
            <w:r>
              <w:rPr>
                <w:rFonts w:cs="Arial"/>
                <w:sz w:val="20"/>
              </w:rPr>
              <w:t>See notes</w:t>
            </w:r>
          </w:p>
        </w:tc>
        <w:tc>
          <w:tcPr>
            <w:tcW w:w="360" w:type="dxa"/>
            <w:tcBorders>
              <w:top w:val="nil"/>
              <w:bottom w:val="nil"/>
            </w:tcBorders>
            <w:vAlign w:val="center"/>
          </w:tcPr>
          <w:p w:rsidR="00916CF6" w:rsidRPr="009A3AFE" w:rsidRDefault="00916CF6" w:rsidP="00916CF6">
            <w:pPr>
              <w:rPr>
                <w:color w:val="0000FF"/>
                <w:sz w:val="16"/>
                <w:highlight w:val="yellow"/>
              </w:rPr>
            </w:pPr>
          </w:p>
        </w:tc>
        <w:tc>
          <w:tcPr>
            <w:tcW w:w="3510" w:type="dxa"/>
            <w:shd w:val="clear" w:color="auto" w:fill="F3F3F3"/>
            <w:vAlign w:val="center"/>
          </w:tcPr>
          <w:p w:rsidR="00916CF6" w:rsidRDefault="00916CF6" w:rsidP="00916CF6">
            <w:pPr>
              <w:rPr>
                <w:rFonts w:cs="Arial"/>
                <w:sz w:val="20"/>
              </w:rPr>
            </w:pPr>
            <w:r>
              <w:rPr>
                <w:rFonts w:cs="Arial"/>
                <w:sz w:val="20"/>
              </w:rPr>
              <w:t>Spastics Society</w:t>
            </w:r>
          </w:p>
        </w:tc>
        <w:tc>
          <w:tcPr>
            <w:tcW w:w="1457" w:type="dxa"/>
            <w:shd w:val="clear" w:color="auto" w:fill="F3F3F3"/>
            <w:vAlign w:val="center"/>
          </w:tcPr>
          <w:p w:rsidR="00916CF6" w:rsidRDefault="00916CF6" w:rsidP="00916CF6">
            <w:pPr>
              <w:rPr>
                <w:rFonts w:cs="Arial"/>
                <w:sz w:val="20"/>
              </w:rPr>
            </w:pPr>
            <w:r>
              <w:rPr>
                <w:rFonts w:cs="Arial"/>
                <w:sz w:val="20"/>
              </w:rPr>
              <w:t>100</w:t>
            </w:r>
          </w:p>
        </w:tc>
      </w:tr>
      <w:tr w:rsidR="00916CF6" w:rsidRPr="009A3AFE" w:rsidTr="00916CF6">
        <w:trPr>
          <w:trHeight w:val="500"/>
        </w:trPr>
        <w:tc>
          <w:tcPr>
            <w:tcW w:w="3528" w:type="dxa"/>
            <w:shd w:val="clear" w:color="auto" w:fill="F3F3F3"/>
            <w:vAlign w:val="center"/>
          </w:tcPr>
          <w:p w:rsidR="00916CF6" w:rsidRPr="006B6D08" w:rsidRDefault="00916CF6" w:rsidP="00916CF6">
            <w:pPr>
              <w:rPr>
                <w:rFonts w:cs="Arial"/>
                <w:sz w:val="20"/>
              </w:rPr>
            </w:pPr>
            <w:r w:rsidRPr="006B6D08">
              <w:rPr>
                <w:rFonts w:cs="Arial"/>
                <w:sz w:val="20"/>
              </w:rPr>
              <w:t>Elm House Management Committee</w:t>
            </w:r>
          </w:p>
        </w:tc>
        <w:tc>
          <w:tcPr>
            <w:tcW w:w="1440" w:type="dxa"/>
            <w:shd w:val="clear" w:color="auto" w:fill="F3F3F3"/>
            <w:vAlign w:val="center"/>
          </w:tcPr>
          <w:p w:rsidR="00916CF6" w:rsidRDefault="00916CF6" w:rsidP="00916CF6">
            <w:pPr>
              <w:rPr>
                <w:rFonts w:cs="Arial"/>
                <w:sz w:val="20"/>
              </w:rPr>
            </w:pPr>
            <w:r>
              <w:rPr>
                <w:rFonts w:cs="Arial"/>
                <w:sz w:val="20"/>
              </w:rPr>
              <w:t>See notes</w:t>
            </w:r>
          </w:p>
        </w:tc>
        <w:tc>
          <w:tcPr>
            <w:tcW w:w="360" w:type="dxa"/>
            <w:tcBorders>
              <w:top w:val="nil"/>
              <w:bottom w:val="nil"/>
            </w:tcBorders>
            <w:vAlign w:val="center"/>
          </w:tcPr>
          <w:p w:rsidR="00916CF6" w:rsidRPr="009A3AFE" w:rsidRDefault="00916CF6" w:rsidP="00916CF6">
            <w:pPr>
              <w:rPr>
                <w:color w:val="0000FF"/>
                <w:sz w:val="16"/>
                <w:highlight w:val="yellow"/>
              </w:rPr>
            </w:pPr>
          </w:p>
        </w:tc>
        <w:tc>
          <w:tcPr>
            <w:tcW w:w="3510" w:type="dxa"/>
            <w:shd w:val="clear" w:color="auto" w:fill="F3F3F3"/>
            <w:vAlign w:val="center"/>
          </w:tcPr>
          <w:p w:rsidR="00916CF6" w:rsidRDefault="00916CF6" w:rsidP="00916CF6">
            <w:pPr>
              <w:rPr>
                <w:rFonts w:cs="Arial"/>
                <w:sz w:val="20"/>
              </w:rPr>
            </w:pPr>
          </w:p>
        </w:tc>
        <w:tc>
          <w:tcPr>
            <w:tcW w:w="1457" w:type="dxa"/>
            <w:shd w:val="clear" w:color="auto" w:fill="F3F3F3"/>
            <w:vAlign w:val="center"/>
          </w:tcPr>
          <w:p w:rsidR="00916CF6" w:rsidRDefault="00916CF6" w:rsidP="00916CF6">
            <w:pPr>
              <w:rPr>
                <w:rFonts w:cs="Arial"/>
                <w:sz w:val="20"/>
              </w:rPr>
            </w:pPr>
          </w:p>
        </w:tc>
      </w:tr>
    </w:tbl>
    <w:p w:rsidR="00FD3A07" w:rsidRPr="009A3AFE" w:rsidRDefault="00FD3A07" w:rsidP="00FD3A07">
      <w:pPr>
        <w:rPr>
          <w:color w:val="0000FF"/>
          <w:highlight w:val="yellow"/>
        </w:rPr>
      </w:pPr>
    </w:p>
    <w:p w:rsidR="0086294C" w:rsidRPr="009A3AFE" w:rsidRDefault="0086294C" w:rsidP="0086294C">
      <w:pPr>
        <w:rPr>
          <w:highlight w:val="yellow"/>
        </w:rPr>
      </w:pPr>
    </w:p>
    <w:p w:rsidR="00916CF6" w:rsidRPr="0025018F" w:rsidRDefault="00916CF6" w:rsidP="00916CF6">
      <w:pPr>
        <w:rPr>
          <w:sz w:val="20"/>
        </w:rPr>
      </w:pPr>
      <w:r w:rsidRPr="0025018F">
        <w:rPr>
          <w:sz w:val="20"/>
        </w:rPr>
        <w:t>Note:</w:t>
      </w:r>
    </w:p>
    <w:p w:rsidR="00916CF6" w:rsidRDefault="00916CF6" w:rsidP="00916CF6">
      <w:pPr>
        <w:rPr>
          <w:sz w:val="20"/>
        </w:rPr>
      </w:pPr>
      <w:r w:rsidRPr="0008002F">
        <w:rPr>
          <w:sz w:val="20"/>
        </w:rPr>
        <w:t xml:space="preserve">Members of the Fund employed by </w:t>
      </w:r>
      <w:smartTag w:uri="urn:schemas-microsoft-com:office:smarttags" w:element="PlaceName">
        <w:r w:rsidRPr="0008002F">
          <w:rPr>
            <w:sz w:val="20"/>
          </w:rPr>
          <w:t>Skelmersdale</w:t>
        </w:r>
      </w:smartTag>
      <w:r w:rsidRPr="0008002F">
        <w:rPr>
          <w:sz w:val="20"/>
        </w:rPr>
        <w:t xml:space="preserve"> </w:t>
      </w:r>
      <w:smartTag w:uri="urn:schemas-microsoft-com:office:smarttags" w:element="PlaceType">
        <w:r w:rsidRPr="0008002F">
          <w:rPr>
            <w:sz w:val="20"/>
          </w:rPr>
          <w:t>College</w:t>
        </w:r>
      </w:smartTag>
      <w:r w:rsidRPr="0008002F">
        <w:rPr>
          <w:sz w:val="20"/>
        </w:rPr>
        <w:t xml:space="preserve"> have transferred to membership of the </w:t>
      </w:r>
      <w:smartTag w:uri="urn:schemas-microsoft-com:office:smarttags" w:element="place">
        <w:r w:rsidRPr="0008002F">
          <w:rPr>
            <w:sz w:val="20"/>
          </w:rPr>
          <w:t>Tyne</w:t>
        </w:r>
      </w:smartTag>
      <w:r w:rsidRPr="0008002F">
        <w:rPr>
          <w:sz w:val="20"/>
        </w:rPr>
        <w:t xml:space="preserve"> and Wear Fund, and so a bulk transfer payment will be required. Any residual funding shortfall in the LCPF after the transfer payment should then be recovered from the College. </w:t>
      </w:r>
    </w:p>
    <w:p w:rsidR="00916CF6" w:rsidRDefault="00916CF6" w:rsidP="00916CF6">
      <w:pPr>
        <w:rPr>
          <w:sz w:val="20"/>
        </w:rPr>
      </w:pPr>
    </w:p>
    <w:p w:rsidR="00916CF6" w:rsidRPr="0008002F" w:rsidRDefault="00916CF6" w:rsidP="00916CF6">
      <w:r w:rsidRPr="0008002F">
        <w:rPr>
          <w:sz w:val="20"/>
        </w:rPr>
        <w:t xml:space="preserve">For the remaining employers listed as "see notes" above </w:t>
      </w:r>
      <w:r>
        <w:rPr>
          <w:sz w:val="20"/>
        </w:rPr>
        <w:t>further calculations are required in connection with them ceasing to participate in the Fund.</w:t>
      </w:r>
      <w:r w:rsidRPr="0008002F">
        <w:rPr>
          <w:sz w:val="20"/>
        </w:rPr>
        <w:t xml:space="preserve">  </w:t>
      </w:r>
      <w:r>
        <w:rPr>
          <w:sz w:val="20"/>
        </w:rPr>
        <w:t>Further</w:t>
      </w:r>
      <w:r w:rsidRPr="0008002F">
        <w:rPr>
          <w:sz w:val="20"/>
        </w:rPr>
        <w:t xml:space="preserve"> </w:t>
      </w:r>
      <w:r>
        <w:rPr>
          <w:sz w:val="20"/>
        </w:rPr>
        <w:t>details</w:t>
      </w:r>
      <w:r w:rsidRPr="0008002F">
        <w:rPr>
          <w:sz w:val="20"/>
        </w:rPr>
        <w:t xml:space="preserve"> for these employers will be notified in due course.</w:t>
      </w:r>
    </w:p>
    <w:p w:rsidR="0086294C" w:rsidRPr="009A3AFE" w:rsidRDefault="0086294C" w:rsidP="0086294C">
      <w:pPr>
        <w:rPr>
          <w:highlight w:val="yellow"/>
        </w:rPr>
      </w:pPr>
    </w:p>
    <w:p w:rsidR="0086294C" w:rsidRPr="009A3AFE" w:rsidRDefault="0086294C" w:rsidP="0086294C">
      <w:pPr>
        <w:rPr>
          <w:highlight w:val="yellow"/>
        </w:rPr>
      </w:pPr>
    </w:p>
    <w:p w:rsidR="0086294C" w:rsidRPr="009A3AFE" w:rsidRDefault="0086294C" w:rsidP="0086294C">
      <w:pPr>
        <w:rPr>
          <w:highlight w:val="yellow"/>
        </w:rPr>
      </w:pPr>
    </w:p>
    <w:p w:rsidR="0086294C" w:rsidRPr="009A3AFE" w:rsidRDefault="0086294C" w:rsidP="0086294C">
      <w:pPr>
        <w:rPr>
          <w:highlight w:val="yellow"/>
        </w:rPr>
      </w:pPr>
    </w:p>
    <w:p w:rsidR="0086294C" w:rsidRPr="009A3AFE" w:rsidRDefault="0086294C" w:rsidP="0086294C">
      <w:pPr>
        <w:rPr>
          <w:highlight w:val="yellow"/>
        </w:rPr>
      </w:pPr>
    </w:p>
    <w:p w:rsidR="0086294C" w:rsidRPr="009A3AFE" w:rsidRDefault="0086294C" w:rsidP="0086294C">
      <w:pPr>
        <w:rPr>
          <w:highlight w:val="yellow"/>
        </w:rPr>
      </w:pPr>
    </w:p>
    <w:p w:rsidR="00226FB6" w:rsidRPr="00B07458" w:rsidRDefault="00E708C8">
      <w:pPr>
        <w:rPr>
          <w:color w:val="0000FF"/>
          <w:highlight w:val="yellow"/>
        </w:rPr>
      </w:pPr>
      <w:r w:rsidRPr="009A3AFE">
        <w:rPr>
          <w:color w:val="0000FF"/>
          <w:highlight w:val="yellow"/>
        </w:rPr>
        <w:br w:type="page"/>
      </w:r>
    </w:p>
    <w:p w:rsidR="007926D1" w:rsidRPr="00E06FC6" w:rsidRDefault="00E23284">
      <w:pPr>
        <w:pStyle w:val="Heading3"/>
        <w:rPr>
          <w:b w:val="0"/>
          <w:szCs w:val="28"/>
        </w:rPr>
      </w:pPr>
      <w:r w:rsidRPr="00E06FC6">
        <w:rPr>
          <w:i w:val="0"/>
          <w:u w:val="none"/>
        </w:rPr>
        <w:t>H</w:t>
      </w:r>
      <w:r w:rsidRPr="00E06FC6">
        <w:rPr>
          <w:i w:val="0"/>
          <w:szCs w:val="28"/>
          <w:u w:val="none"/>
        </w:rPr>
        <w:t>.   Contacts</w:t>
      </w:r>
    </w:p>
    <w:p w:rsidR="005565E8" w:rsidRPr="00E06FC6" w:rsidRDefault="005565E8" w:rsidP="005565E8">
      <w:pPr>
        <w:rPr>
          <w:b/>
          <w:sz w:val="28"/>
          <w:szCs w:val="28"/>
          <w:lang w:eastAsia="en-US"/>
        </w:rPr>
      </w:pPr>
    </w:p>
    <w:p w:rsidR="0020256C" w:rsidRPr="00E06FC6" w:rsidRDefault="0086791E" w:rsidP="0020256C">
      <w:pPr>
        <w:rPr>
          <w:rFonts w:cs="Arial"/>
          <w:color w:val="FF0000"/>
        </w:rPr>
      </w:pPr>
      <w:hyperlink r:id="rId36" w:history="1">
        <w:r w:rsidR="00E06FC6" w:rsidRPr="00E06FC6">
          <w:rPr>
            <w:rStyle w:val="Hyperlink"/>
            <w:b/>
          </w:rPr>
          <w:t>http://www.yourpensionservice.org.uk</w:t>
        </w:r>
      </w:hyperlink>
    </w:p>
    <w:p w:rsidR="005565E8" w:rsidRPr="00B07458" w:rsidRDefault="005565E8" w:rsidP="005565E8">
      <w:pPr>
        <w:autoSpaceDE w:val="0"/>
        <w:autoSpaceDN w:val="0"/>
        <w:adjustRightInd w:val="0"/>
        <w:rPr>
          <w:rFonts w:cs="Arial"/>
          <w:bCs/>
          <w:color w:val="000000"/>
          <w:highlight w:val="yellow"/>
        </w:rPr>
      </w:pPr>
    </w:p>
    <w:p w:rsidR="005565E8" w:rsidRPr="00B07458" w:rsidRDefault="005565E8" w:rsidP="005565E8">
      <w:pPr>
        <w:autoSpaceDE w:val="0"/>
        <w:autoSpaceDN w:val="0"/>
        <w:adjustRightInd w:val="0"/>
        <w:rPr>
          <w:rFonts w:cs="Arial"/>
          <w:bCs/>
          <w:color w:val="000000"/>
          <w:highlight w:val="yellow"/>
        </w:rPr>
      </w:pPr>
    </w:p>
    <w:p w:rsidR="005565E8" w:rsidRPr="00E06FC6" w:rsidRDefault="005565E8" w:rsidP="005565E8">
      <w:pPr>
        <w:autoSpaceDE w:val="0"/>
        <w:autoSpaceDN w:val="0"/>
        <w:adjustRightInd w:val="0"/>
        <w:rPr>
          <w:rFonts w:cs="Arial"/>
          <w:b/>
          <w:bCs/>
          <w:color w:val="000000"/>
        </w:rPr>
      </w:pPr>
      <w:r w:rsidRPr="00E06FC6">
        <w:rPr>
          <w:rFonts w:cs="Arial"/>
          <w:b/>
          <w:bCs/>
          <w:color w:val="000000"/>
        </w:rPr>
        <w:t>Benefits and other Administrative Issues</w:t>
      </w:r>
    </w:p>
    <w:p w:rsidR="005565E8" w:rsidRPr="00E06FC6" w:rsidRDefault="005565E8" w:rsidP="005565E8">
      <w:pPr>
        <w:autoSpaceDE w:val="0"/>
        <w:autoSpaceDN w:val="0"/>
        <w:adjustRightInd w:val="0"/>
        <w:rPr>
          <w:rFonts w:cs="Arial"/>
          <w:bCs/>
          <w:color w:val="000000"/>
        </w:rPr>
      </w:pPr>
    </w:p>
    <w:p w:rsidR="005565E8" w:rsidRPr="00E06FC6" w:rsidRDefault="005565E8" w:rsidP="005565E8">
      <w:pPr>
        <w:autoSpaceDE w:val="0"/>
        <w:autoSpaceDN w:val="0"/>
        <w:adjustRightInd w:val="0"/>
        <w:rPr>
          <w:rFonts w:cs="Arial"/>
          <w:bCs/>
          <w:color w:val="000000"/>
        </w:rPr>
      </w:pPr>
      <w:r w:rsidRPr="00E06FC6">
        <w:rPr>
          <w:rFonts w:cs="Arial"/>
          <w:bCs/>
          <w:color w:val="000000"/>
        </w:rPr>
        <w:t>Pensions Helpdesk</w:t>
      </w:r>
    </w:p>
    <w:p w:rsidR="005565E8" w:rsidRPr="00E06FC6" w:rsidRDefault="004C5138" w:rsidP="005565E8">
      <w:pPr>
        <w:autoSpaceDE w:val="0"/>
        <w:autoSpaceDN w:val="0"/>
        <w:adjustRightInd w:val="0"/>
        <w:rPr>
          <w:rFonts w:cs="Arial"/>
          <w:bCs/>
          <w:color w:val="000000"/>
        </w:rPr>
      </w:pPr>
      <w:r>
        <w:rPr>
          <w:rFonts w:cs="Arial"/>
          <w:bCs/>
          <w:color w:val="000000"/>
        </w:rPr>
        <w:t>Your</w:t>
      </w:r>
      <w:r w:rsidR="005565E8" w:rsidRPr="00E06FC6">
        <w:rPr>
          <w:rFonts w:cs="Arial"/>
          <w:bCs/>
          <w:color w:val="000000"/>
        </w:rPr>
        <w:t xml:space="preserve"> Pension Service</w:t>
      </w:r>
    </w:p>
    <w:p w:rsidR="005565E8" w:rsidRPr="00E06FC6" w:rsidRDefault="005565E8" w:rsidP="005565E8">
      <w:pPr>
        <w:autoSpaceDE w:val="0"/>
        <w:autoSpaceDN w:val="0"/>
        <w:adjustRightInd w:val="0"/>
        <w:rPr>
          <w:rFonts w:cs="Arial"/>
          <w:bCs/>
          <w:color w:val="000000"/>
        </w:rPr>
      </w:pPr>
      <w:smartTag w:uri="urn:schemas-microsoft-com:office:smarttags" w:element="Street">
        <w:r w:rsidRPr="00E06FC6">
          <w:rPr>
            <w:rFonts w:cs="Arial"/>
            <w:bCs/>
            <w:color w:val="000000"/>
          </w:rPr>
          <w:t>PO Box</w:t>
        </w:r>
      </w:smartTag>
      <w:r w:rsidRPr="00E06FC6">
        <w:rPr>
          <w:rFonts w:cs="Arial"/>
          <w:bCs/>
          <w:color w:val="000000"/>
        </w:rPr>
        <w:t xml:space="preserve"> 100</w:t>
      </w:r>
    </w:p>
    <w:p w:rsidR="005565E8" w:rsidRPr="00E06FC6" w:rsidRDefault="005565E8" w:rsidP="005565E8">
      <w:pPr>
        <w:autoSpaceDE w:val="0"/>
        <w:autoSpaceDN w:val="0"/>
        <w:adjustRightInd w:val="0"/>
        <w:rPr>
          <w:rFonts w:cs="Arial"/>
          <w:bCs/>
          <w:color w:val="000000"/>
        </w:rPr>
      </w:pPr>
      <w:r w:rsidRPr="00E06FC6">
        <w:rPr>
          <w:rFonts w:cs="Arial"/>
          <w:bCs/>
          <w:color w:val="000000"/>
        </w:rPr>
        <w:t>County Hall</w:t>
      </w:r>
    </w:p>
    <w:p w:rsidR="005565E8" w:rsidRPr="00E06FC6" w:rsidRDefault="005565E8" w:rsidP="005565E8">
      <w:pPr>
        <w:autoSpaceDE w:val="0"/>
        <w:autoSpaceDN w:val="0"/>
        <w:adjustRightInd w:val="0"/>
        <w:rPr>
          <w:rFonts w:cs="Arial"/>
          <w:bCs/>
          <w:color w:val="000000"/>
        </w:rPr>
      </w:pPr>
      <w:r w:rsidRPr="00E06FC6">
        <w:rPr>
          <w:rFonts w:cs="Arial"/>
          <w:bCs/>
          <w:color w:val="000000"/>
        </w:rPr>
        <w:t>Preston</w:t>
      </w:r>
    </w:p>
    <w:p w:rsidR="005565E8" w:rsidRPr="00E06FC6" w:rsidRDefault="005565E8" w:rsidP="005565E8">
      <w:pPr>
        <w:autoSpaceDE w:val="0"/>
        <w:autoSpaceDN w:val="0"/>
        <w:adjustRightInd w:val="0"/>
        <w:rPr>
          <w:rFonts w:cs="Arial"/>
          <w:bCs/>
          <w:color w:val="000000"/>
        </w:rPr>
      </w:pPr>
      <w:r w:rsidRPr="00E06FC6">
        <w:rPr>
          <w:rFonts w:cs="Arial"/>
          <w:bCs/>
          <w:color w:val="000000"/>
        </w:rPr>
        <w:t>PR1 0LD</w:t>
      </w:r>
    </w:p>
    <w:p w:rsidR="005565E8" w:rsidRPr="00E06FC6" w:rsidRDefault="005565E8" w:rsidP="005565E8">
      <w:pPr>
        <w:autoSpaceDE w:val="0"/>
        <w:autoSpaceDN w:val="0"/>
        <w:adjustRightInd w:val="0"/>
        <w:rPr>
          <w:rFonts w:cs="Arial"/>
          <w:bCs/>
          <w:color w:val="000000"/>
        </w:rPr>
      </w:pPr>
      <w:r w:rsidRPr="00E06FC6">
        <w:rPr>
          <w:rFonts w:cs="Arial"/>
          <w:bCs/>
          <w:color w:val="000000"/>
        </w:rPr>
        <w:t>Telephone:</w:t>
      </w:r>
      <w:r w:rsidRPr="00E06FC6">
        <w:rPr>
          <w:rFonts w:cs="Arial"/>
          <w:bCs/>
          <w:color w:val="000000"/>
        </w:rPr>
        <w:tab/>
        <w:t>01772 530530</w:t>
      </w:r>
    </w:p>
    <w:p w:rsidR="005565E8" w:rsidRPr="00E06FC6" w:rsidRDefault="005565E8" w:rsidP="005565E8">
      <w:pPr>
        <w:autoSpaceDE w:val="0"/>
        <w:autoSpaceDN w:val="0"/>
        <w:adjustRightInd w:val="0"/>
        <w:rPr>
          <w:rFonts w:cs="Arial"/>
          <w:bCs/>
          <w:color w:val="000000"/>
        </w:rPr>
      </w:pPr>
      <w:r w:rsidRPr="00E06FC6">
        <w:rPr>
          <w:rFonts w:cs="Arial"/>
          <w:bCs/>
          <w:color w:val="000000"/>
        </w:rPr>
        <w:t xml:space="preserve">E-mail: </w:t>
      </w:r>
      <w:r w:rsidRPr="00E06FC6">
        <w:rPr>
          <w:rFonts w:cs="Arial"/>
          <w:bCs/>
          <w:color w:val="000000"/>
        </w:rPr>
        <w:tab/>
        <w:t>pensions.helpdesk@lancashire.gov.uk</w:t>
      </w:r>
    </w:p>
    <w:p w:rsidR="005565E8" w:rsidRPr="00E06FC6" w:rsidRDefault="005565E8" w:rsidP="005565E8">
      <w:pPr>
        <w:rPr>
          <w:b/>
          <w:sz w:val="28"/>
          <w:szCs w:val="28"/>
          <w:lang w:eastAsia="en-US"/>
        </w:rPr>
      </w:pPr>
    </w:p>
    <w:p w:rsidR="00BC2BF0" w:rsidRPr="00E06FC6" w:rsidRDefault="00BC2BF0" w:rsidP="005565E8">
      <w:pPr>
        <w:rPr>
          <w:b/>
          <w:sz w:val="28"/>
          <w:szCs w:val="28"/>
          <w:lang w:eastAsia="en-US"/>
        </w:rPr>
      </w:pPr>
    </w:p>
    <w:p w:rsidR="005565E8" w:rsidRPr="00E06FC6" w:rsidRDefault="005565E8" w:rsidP="005565E8">
      <w:pPr>
        <w:autoSpaceDE w:val="0"/>
        <w:autoSpaceDN w:val="0"/>
        <w:adjustRightInd w:val="0"/>
        <w:rPr>
          <w:rFonts w:cs="Arial"/>
          <w:b/>
          <w:bCs/>
          <w:color w:val="000000"/>
        </w:rPr>
      </w:pPr>
      <w:r w:rsidRPr="00E06FC6">
        <w:rPr>
          <w:rFonts w:cs="Arial"/>
          <w:b/>
          <w:bCs/>
          <w:color w:val="000000"/>
        </w:rPr>
        <w:t>Pension Benefits and Administration</w:t>
      </w:r>
    </w:p>
    <w:p w:rsidR="005565E8" w:rsidRPr="00E06FC6" w:rsidRDefault="005565E8" w:rsidP="005565E8">
      <w:pPr>
        <w:rPr>
          <w:b/>
          <w:sz w:val="28"/>
          <w:szCs w:val="28"/>
          <w:lang w:eastAsia="en-US"/>
        </w:rPr>
      </w:pPr>
    </w:p>
    <w:p w:rsidR="005565E8" w:rsidRPr="00E06FC6" w:rsidRDefault="005565E8" w:rsidP="005565E8">
      <w:pPr>
        <w:rPr>
          <w:rFonts w:cs="Arial"/>
          <w:bCs/>
          <w:color w:val="000000"/>
        </w:rPr>
      </w:pPr>
      <w:r w:rsidRPr="00E06FC6">
        <w:rPr>
          <w:rFonts w:cs="Arial"/>
          <w:bCs/>
          <w:color w:val="000000"/>
        </w:rPr>
        <w:t>Diane Lister</w:t>
      </w:r>
    </w:p>
    <w:p w:rsidR="005565E8" w:rsidRPr="00E06FC6" w:rsidRDefault="006343DA" w:rsidP="005565E8">
      <w:pPr>
        <w:rPr>
          <w:rFonts w:cs="Arial"/>
          <w:bCs/>
          <w:color w:val="000000"/>
        </w:rPr>
      </w:pPr>
      <w:r>
        <w:rPr>
          <w:rFonts w:cs="Arial"/>
          <w:bCs/>
          <w:color w:val="000000"/>
        </w:rPr>
        <w:t xml:space="preserve">Head of Your </w:t>
      </w:r>
      <w:r w:rsidR="005565E8" w:rsidRPr="00E06FC6">
        <w:rPr>
          <w:rFonts w:cs="Arial"/>
          <w:bCs/>
          <w:color w:val="000000"/>
        </w:rPr>
        <w:t>Pension Service</w:t>
      </w:r>
    </w:p>
    <w:p w:rsidR="00BC2BF0" w:rsidRPr="00E06FC6" w:rsidRDefault="00BC2BF0" w:rsidP="00BC2BF0">
      <w:pPr>
        <w:autoSpaceDE w:val="0"/>
        <w:autoSpaceDN w:val="0"/>
        <w:adjustRightInd w:val="0"/>
        <w:rPr>
          <w:rFonts w:cs="Arial"/>
          <w:bCs/>
          <w:color w:val="000000"/>
        </w:rPr>
      </w:pPr>
      <w:r w:rsidRPr="00E06FC6">
        <w:rPr>
          <w:rFonts w:cs="Arial"/>
          <w:bCs/>
          <w:color w:val="000000"/>
        </w:rPr>
        <w:t>Telephone:</w:t>
      </w:r>
      <w:r w:rsidRPr="00E06FC6">
        <w:rPr>
          <w:rFonts w:cs="Arial"/>
          <w:bCs/>
          <w:color w:val="000000"/>
        </w:rPr>
        <w:tab/>
        <w:t>01772 534827</w:t>
      </w:r>
    </w:p>
    <w:p w:rsidR="00BC2BF0" w:rsidRPr="00E06FC6" w:rsidRDefault="00BC2BF0" w:rsidP="00BC2BF0">
      <w:pPr>
        <w:autoSpaceDE w:val="0"/>
        <w:autoSpaceDN w:val="0"/>
        <w:adjustRightInd w:val="0"/>
        <w:rPr>
          <w:rFonts w:cs="Arial"/>
          <w:bCs/>
          <w:color w:val="000000"/>
        </w:rPr>
      </w:pPr>
      <w:r w:rsidRPr="00E06FC6">
        <w:rPr>
          <w:rFonts w:cs="Arial"/>
          <w:bCs/>
          <w:color w:val="000000"/>
        </w:rPr>
        <w:t xml:space="preserve">E-mail: </w:t>
      </w:r>
      <w:r w:rsidRPr="00E06FC6">
        <w:rPr>
          <w:rFonts w:cs="Arial"/>
          <w:bCs/>
          <w:color w:val="000000"/>
        </w:rPr>
        <w:tab/>
        <w:t>diane.lister@lancashire.gov.uk</w:t>
      </w:r>
    </w:p>
    <w:p w:rsidR="005565E8" w:rsidRPr="00B07458" w:rsidRDefault="005565E8" w:rsidP="005565E8">
      <w:pPr>
        <w:rPr>
          <w:b/>
          <w:sz w:val="28"/>
          <w:szCs w:val="28"/>
          <w:highlight w:val="yellow"/>
          <w:lang w:eastAsia="en-US"/>
        </w:rPr>
      </w:pPr>
    </w:p>
    <w:p w:rsidR="00BC2BF0" w:rsidRPr="00B07458" w:rsidRDefault="00BC2BF0" w:rsidP="005565E8">
      <w:pPr>
        <w:rPr>
          <w:b/>
          <w:sz w:val="28"/>
          <w:szCs w:val="28"/>
          <w:highlight w:val="yellow"/>
          <w:lang w:eastAsia="en-US"/>
        </w:rPr>
      </w:pPr>
    </w:p>
    <w:p w:rsidR="00BC2BF0" w:rsidRPr="00E06FC6" w:rsidRDefault="00BC2BF0" w:rsidP="00BC2BF0">
      <w:pPr>
        <w:autoSpaceDE w:val="0"/>
        <w:autoSpaceDN w:val="0"/>
        <w:adjustRightInd w:val="0"/>
        <w:rPr>
          <w:rFonts w:cs="Arial"/>
          <w:b/>
          <w:bCs/>
          <w:color w:val="000000"/>
        </w:rPr>
      </w:pPr>
      <w:r w:rsidRPr="00E06FC6">
        <w:rPr>
          <w:rFonts w:cs="Arial"/>
          <w:b/>
          <w:bCs/>
          <w:color w:val="000000"/>
        </w:rPr>
        <w:t>General Pension Fund Investment/Accounting Queries</w:t>
      </w:r>
    </w:p>
    <w:p w:rsidR="00BC2BF0" w:rsidRPr="00E06FC6" w:rsidRDefault="00BC2BF0" w:rsidP="00BC2BF0">
      <w:pPr>
        <w:rPr>
          <w:b/>
          <w:sz w:val="28"/>
          <w:szCs w:val="28"/>
          <w:lang w:eastAsia="en-US"/>
        </w:rPr>
      </w:pPr>
    </w:p>
    <w:p w:rsidR="00BC2BF0" w:rsidRPr="00E06FC6" w:rsidRDefault="00BC2BF0" w:rsidP="00BC2BF0">
      <w:pPr>
        <w:autoSpaceDE w:val="0"/>
        <w:autoSpaceDN w:val="0"/>
        <w:adjustRightInd w:val="0"/>
        <w:rPr>
          <w:rFonts w:cs="Arial"/>
          <w:bCs/>
          <w:color w:val="000000"/>
        </w:rPr>
      </w:pPr>
      <w:r w:rsidRPr="00E06FC6">
        <w:rPr>
          <w:rFonts w:cs="Arial"/>
          <w:bCs/>
          <w:color w:val="000000"/>
        </w:rPr>
        <w:t>Telephone:</w:t>
      </w:r>
      <w:r w:rsidRPr="00E06FC6">
        <w:rPr>
          <w:rFonts w:cs="Arial"/>
          <w:bCs/>
          <w:color w:val="000000"/>
        </w:rPr>
        <w:tab/>
        <w:t>01772 534724</w:t>
      </w:r>
    </w:p>
    <w:p w:rsidR="00BC2BF0" w:rsidRPr="00E06FC6" w:rsidRDefault="00BC2BF0" w:rsidP="00BC2BF0">
      <w:pPr>
        <w:autoSpaceDE w:val="0"/>
        <w:autoSpaceDN w:val="0"/>
        <w:adjustRightInd w:val="0"/>
        <w:rPr>
          <w:rFonts w:cs="Arial"/>
          <w:bCs/>
          <w:color w:val="000000"/>
        </w:rPr>
      </w:pPr>
      <w:r w:rsidRPr="00E06FC6">
        <w:rPr>
          <w:rFonts w:cs="Arial"/>
          <w:bCs/>
          <w:color w:val="000000"/>
        </w:rPr>
        <w:t>Fax:</w:t>
      </w:r>
      <w:r w:rsidRPr="00E06FC6">
        <w:rPr>
          <w:rFonts w:cs="Arial"/>
          <w:bCs/>
          <w:color w:val="000000"/>
        </w:rPr>
        <w:tab/>
        <w:t>01772 533948</w:t>
      </w:r>
    </w:p>
    <w:p w:rsidR="00BC2BF0" w:rsidRPr="00E06FC6" w:rsidRDefault="00BC2BF0" w:rsidP="00BC2BF0">
      <w:pPr>
        <w:autoSpaceDE w:val="0"/>
        <w:autoSpaceDN w:val="0"/>
        <w:adjustRightInd w:val="0"/>
        <w:rPr>
          <w:rFonts w:cs="Arial"/>
          <w:bCs/>
          <w:color w:val="000000"/>
        </w:rPr>
      </w:pPr>
      <w:r w:rsidRPr="00E06FC6">
        <w:rPr>
          <w:rFonts w:cs="Arial"/>
          <w:bCs/>
          <w:color w:val="000000"/>
        </w:rPr>
        <w:t xml:space="preserve">E-mail: </w:t>
      </w:r>
      <w:r w:rsidRPr="00E06FC6">
        <w:rPr>
          <w:rFonts w:cs="Arial"/>
          <w:bCs/>
          <w:color w:val="000000"/>
        </w:rPr>
        <w:tab/>
      </w:r>
      <w:r w:rsidR="00F332F8">
        <w:rPr>
          <w:rFonts w:cs="Arial"/>
          <w:bCs/>
          <w:color w:val="000000"/>
        </w:rPr>
        <w:t>Pensionsfinance</w:t>
      </w:r>
      <w:r w:rsidRPr="00E06FC6">
        <w:rPr>
          <w:rFonts w:cs="Arial"/>
          <w:bCs/>
          <w:color w:val="000000"/>
        </w:rPr>
        <w:t>@lancashire.gov.uk</w:t>
      </w:r>
    </w:p>
    <w:p w:rsidR="00BC2BF0" w:rsidRPr="00B07458" w:rsidRDefault="00BC2BF0" w:rsidP="00BC2BF0">
      <w:pPr>
        <w:rPr>
          <w:b/>
          <w:sz w:val="28"/>
          <w:szCs w:val="28"/>
          <w:highlight w:val="yellow"/>
          <w:lang w:eastAsia="en-US"/>
        </w:rPr>
      </w:pPr>
    </w:p>
    <w:p w:rsidR="00BC2BF0" w:rsidRPr="00B07458" w:rsidRDefault="00BC2BF0" w:rsidP="00BC2BF0">
      <w:pPr>
        <w:rPr>
          <w:b/>
          <w:sz w:val="28"/>
          <w:szCs w:val="28"/>
          <w:highlight w:val="yellow"/>
          <w:lang w:eastAsia="en-US"/>
        </w:rPr>
      </w:pPr>
    </w:p>
    <w:p w:rsidR="00BC2BF0" w:rsidRPr="00E06FC6" w:rsidRDefault="00BC2BF0" w:rsidP="00BC2BF0">
      <w:pPr>
        <w:autoSpaceDE w:val="0"/>
        <w:autoSpaceDN w:val="0"/>
        <w:adjustRightInd w:val="0"/>
        <w:rPr>
          <w:rFonts w:cs="Arial"/>
          <w:b/>
          <w:bCs/>
          <w:color w:val="000000"/>
        </w:rPr>
      </w:pPr>
      <w:r w:rsidRPr="00E06FC6">
        <w:rPr>
          <w:rFonts w:cs="Arial"/>
          <w:b/>
          <w:bCs/>
          <w:color w:val="000000"/>
        </w:rPr>
        <w:t>Pension Fund Accounts</w:t>
      </w:r>
      <w:r w:rsidR="00E74EE8" w:rsidRPr="00E06FC6">
        <w:rPr>
          <w:rFonts w:cs="Arial"/>
          <w:b/>
          <w:bCs/>
          <w:color w:val="000000"/>
        </w:rPr>
        <w:t>,</w:t>
      </w:r>
      <w:r w:rsidRPr="00E06FC6">
        <w:rPr>
          <w:rFonts w:cs="Arial"/>
          <w:b/>
          <w:bCs/>
          <w:color w:val="000000"/>
        </w:rPr>
        <w:t xml:space="preserve"> Investments</w:t>
      </w:r>
      <w:r w:rsidR="00880512" w:rsidRPr="00E06FC6">
        <w:rPr>
          <w:rFonts w:cs="Arial"/>
          <w:b/>
          <w:bCs/>
          <w:color w:val="000000"/>
        </w:rPr>
        <w:t xml:space="preserve"> and Governance</w:t>
      </w:r>
    </w:p>
    <w:p w:rsidR="00BC2BF0" w:rsidRPr="00E06FC6" w:rsidRDefault="00BC2BF0" w:rsidP="00BC2BF0">
      <w:pPr>
        <w:rPr>
          <w:b/>
          <w:sz w:val="28"/>
          <w:szCs w:val="28"/>
          <w:lang w:eastAsia="en-US"/>
        </w:rPr>
      </w:pPr>
    </w:p>
    <w:p w:rsidR="00BC2BF0" w:rsidRPr="00E06FC6" w:rsidRDefault="00BC2BF0" w:rsidP="00BC2BF0">
      <w:pPr>
        <w:rPr>
          <w:rFonts w:cs="Arial"/>
          <w:bCs/>
          <w:color w:val="000000"/>
        </w:rPr>
      </w:pPr>
      <w:r w:rsidRPr="00E06FC6">
        <w:rPr>
          <w:rFonts w:cs="Arial"/>
          <w:bCs/>
          <w:color w:val="000000"/>
        </w:rPr>
        <w:t>Mike Jensen</w:t>
      </w:r>
    </w:p>
    <w:p w:rsidR="00BC2BF0" w:rsidRPr="00FC2CFF" w:rsidRDefault="00FC2CFF" w:rsidP="00BC2BF0">
      <w:pPr>
        <w:rPr>
          <w:rFonts w:cs="Arial"/>
          <w:bCs/>
          <w:color w:val="000000"/>
        </w:rPr>
      </w:pPr>
      <w:r w:rsidRPr="00FC2CFF">
        <w:rPr>
          <w:rFonts w:cs="Arial"/>
          <w:bCs/>
          <w:color w:val="000000"/>
        </w:rPr>
        <w:t>Chief Investment Officer</w:t>
      </w:r>
    </w:p>
    <w:p w:rsidR="00BC2BF0" w:rsidRPr="00E06FC6" w:rsidRDefault="00BC2BF0" w:rsidP="00BC2BF0">
      <w:pPr>
        <w:autoSpaceDE w:val="0"/>
        <w:autoSpaceDN w:val="0"/>
        <w:adjustRightInd w:val="0"/>
        <w:rPr>
          <w:rFonts w:cs="Arial"/>
          <w:bCs/>
          <w:color w:val="000000"/>
        </w:rPr>
      </w:pPr>
      <w:r w:rsidRPr="00E06FC6">
        <w:rPr>
          <w:rFonts w:cs="Arial"/>
          <w:bCs/>
          <w:color w:val="000000"/>
        </w:rPr>
        <w:t>Telephone:</w:t>
      </w:r>
      <w:r w:rsidRPr="00E06FC6">
        <w:rPr>
          <w:rFonts w:cs="Arial"/>
          <w:bCs/>
          <w:color w:val="000000"/>
        </w:rPr>
        <w:tab/>
        <w:t>01772 534742</w:t>
      </w:r>
    </w:p>
    <w:p w:rsidR="00BC2BF0" w:rsidRPr="00743CEF" w:rsidRDefault="00BC2BF0" w:rsidP="00BC2BF0">
      <w:pPr>
        <w:autoSpaceDE w:val="0"/>
        <w:autoSpaceDN w:val="0"/>
        <w:adjustRightInd w:val="0"/>
        <w:rPr>
          <w:rFonts w:cs="Arial"/>
          <w:bCs/>
          <w:color w:val="000000"/>
        </w:rPr>
      </w:pPr>
      <w:r w:rsidRPr="00E06FC6">
        <w:rPr>
          <w:rFonts w:cs="Arial"/>
          <w:bCs/>
          <w:color w:val="000000"/>
        </w:rPr>
        <w:t xml:space="preserve">E-mail: </w:t>
      </w:r>
      <w:r w:rsidRPr="00E06FC6">
        <w:rPr>
          <w:rFonts w:cs="Arial"/>
          <w:bCs/>
          <w:color w:val="000000"/>
        </w:rPr>
        <w:tab/>
        <w:t>mike.jensen@lancashire.gov.uk</w:t>
      </w:r>
    </w:p>
    <w:p w:rsidR="00C95E23" w:rsidRDefault="00C95E23">
      <w:pPr>
        <w:rPr>
          <w:b/>
          <w:sz w:val="28"/>
          <w:szCs w:val="28"/>
          <w:lang w:eastAsia="en-US"/>
        </w:rPr>
      </w:pPr>
    </w:p>
    <w:p w:rsidR="00D353A6" w:rsidRDefault="00D353A6">
      <w:pPr>
        <w:rPr>
          <w:b/>
          <w:sz w:val="28"/>
          <w:szCs w:val="28"/>
          <w:lang w:eastAsia="en-US"/>
        </w:rPr>
      </w:pPr>
    </w:p>
    <w:p w:rsidR="00D353A6" w:rsidRDefault="00D353A6">
      <w:pPr>
        <w:rPr>
          <w:b/>
          <w:sz w:val="28"/>
          <w:szCs w:val="28"/>
          <w:lang w:eastAsia="en-US"/>
        </w:rPr>
      </w:pPr>
    </w:p>
    <w:p w:rsidR="00D353A6" w:rsidRDefault="00D353A6">
      <w:pPr>
        <w:rPr>
          <w:b/>
          <w:sz w:val="28"/>
          <w:szCs w:val="28"/>
          <w:lang w:eastAsia="en-US"/>
        </w:rPr>
      </w:pPr>
    </w:p>
    <w:p w:rsidR="00D353A6" w:rsidRDefault="00D353A6">
      <w:pPr>
        <w:rPr>
          <w:b/>
          <w:sz w:val="28"/>
          <w:szCs w:val="28"/>
          <w:lang w:eastAsia="en-US"/>
        </w:rPr>
      </w:pPr>
    </w:p>
    <w:p w:rsidR="00D353A6" w:rsidRDefault="00D353A6">
      <w:pPr>
        <w:rPr>
          <w:b/>
          <w:sz w:val="28"/>
          <w:szCs w:val="28"/>
          <w:lang w:eastAsia="en-US"/>
        </w:rPr>
      </w:pPr>
    </w:p>
    <w:p w:rsidR="00D353A6" w:rsidRDefault="00D353A6">
      <w:pPr>
        <w:rPr>
          <w:b/>
          <w:sz w:val="28"/>
          <w:szCs w:val="28"/>
          <w:lang w:eastAsia="en-US"/>
        </w:rPr>
      </w:pPr>
    </w:p>
    <w:p w:rsidR="00D353A6" w:rsidRDefault="00D353A6" w:rsidP="00D353A6">
      <w:pPr>
        <w:autoSpaceDE w:val="0"/>
        <w:autoSpaceDN w:val="0"/>
        <w:adjustRightInd w:val="0"/>
        <w:jc w:val="both"/>
        <w:rPr>
          <w:rFonts w:cs="Arial"/>
          <w:b/>
          <w:bCs/>
        </w:rPr>
      </w:pPr>
    </w:p>
    <w:p w:rsidR="00991666" w:rsidRDefault="00991666">
      <w:pPr>
        <w:keepNext/>
        <w:outlineLvl w:val="2"/>
        <w:rPr>
          <w:b/>
          <w:sz w:val="28"/>
          <w:szCs w:val="28"/>
          <w:lang w:eastAsia="en-US"/>
        </w:rPr>
      </w:pPr>
    </w:p>
    <w:sectPr w:rsidR="00991666" w:rsidSect="00F265E6">
      <w:footerReference w:type="default" r:id="rId37"/>
      <w:headerReference w:type="first" r:id="rId38"/>
      <w:footerReference w:type="first" r:id="rId39"/>
      <w:pgSz w:w="12240" w:h="15840" w:code="1"/>
      <w:pgMar w:top="426" w:right="1418" w:bottom="0" w:left="1134" w:header="720" w:footer="720" w:gutter="0"/>
      <w:pgNumType w:start="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20D0" w:rsidRDefault="00A320D0">
      <w:r>
        <w:separator/>
      </w:r>
    </w:p>
  </w:endnote>
  <w:endnote w:type="continuationSeparator" w:id="0">
    <w:p w:rsidR="00A320D0" w:rsidRDefault="00A320D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Swiss 72 1 BT">
    <w:altName w:val="Swiss 72 1 B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6808365"/>
      <w:docPartObj>
        <w:docPartGallery w:val="Page Numbers (Bottom of Page)"/>
        <w:docPartUnique/>
      </w:docPartObj>
    </w:sdtPr>
    <w:sdtContent>
      <w:p w:rsidR="00A320D0" w:rsidRPr="00880512" w:rsidRDefault="00A320D0">
        <w:pPr>
          <w:pStyle w:val="Footer"/>
          <w:jc w:val="right"/>
          <w:rPr>
            <w:sz w:val="20"/>
          </w:rPr>
        </w:pPr>
        <w:r w:rsidRPr="00880512">
          <w:rPr>
            <w:sz w:val="20"/>
          </w:rPr>
          <w:t>Annual Report 20</w:t>
        </w:r>
        <w:r>
          <w:rPr>
            <w:sz w:val="20"/>
          </w:rPr>
          <w:t>11</w:t>
        </w:r>
        <w:r w:rsidRPr="00880512">
          <w:rPr>
            <w:sz w:val="20"/>
          </w:rPr>
          <w:t xml:space="preserve"> / 201</w:t>
        </w:r>
        <w:r>
          <w:rPr>
            <w:sz w:val="20"/>
          </w:rPr>
          <w:t xml:space="preserve">2      </w:t>
        </w:r>
        <w:r w:rsidR="0086791E" w:rsidRPr="00880512">
          <w:rPr>
            <w:sz w:val="20"/>
          </w:rPr>
          <w:fldChar w:fldCharType="begin"/>
        </w:r>
        <w:r w:rsidRPr="00880512">
          <w:rPr>
            <w:sz w:val="20"/>
          </w:rPr>
          <w:instrText xml:space="preserve"> PAGE   \* MERGEFORMAT </w:instrText>
        </w:r>
        <w:r w:rsidR="0086791E" w:rsidRPr="00880512">
          <w:rPr>
            <w:sz w:val="20"/>
          </w:rPr>
          <w:fldChar w:fldCharType="separate"/>
        </w:r>
        <w:r w:rsidR="003B1844">
          <w:rPr>
            <w:noProof/>
            <w:sz w:val="20"/>
          </w:rPr>
          <w:t>0</w:t>
        </w:r>
        <w:r w:rsidR="0086791E" w:rsidRPr="00880512">
          <w:rPr>
            <w:sz w:val="20"/>
          </w:rPr>
          <w:fldChar w:fldCharType="end"/>
        </w:r>
      </w:p>
    </w:sdtContent>
  </w:sdt>
  <w:p w:rsidR="00A320D0" w:rsidRDefault="00A320D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D0" w:rsidRDefault="00A320D0">
    <w:pPr>
      <w:pStyle w:val="Footer"/>
      <w:tabs>
        <w:tab w:val="clear" w:pos="4153"/>
      </w:tabs>
      <w:ind w:right="-45"/>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20D0" w:rsidRDefault="00A320D0">
      <w:r>
        <w:separator/>
      </w:r>
    </w:p>
  </w:footnote>
  <w:footnote w:type="continuationSeparator" w:id="0">
    <w:p w:rsidR="00A320D0" w:rsidRDefault="00A320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D0" w:rsidRDefault="00A320D0">
    <w:pPr>
      <w:pStyle w:val="Header"/>
      <w:jc w:val="right"/>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DCEE8F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822A4A"/>
    <w:multiLevelType w:val="hybridMultilevel"/>
    <w:tmpl w:val="1DB8654E"/>
    <w:lvl w:ilvl="0" w:tplc="0809000F">
      <w:start w:val="1"/>
      <w:numFmt w:val="decimal"/>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
    <w:nsid w:val="01140F45"/>
    <w:multiLevelType w:val="hybridMultilevel"/>
    <w:tmpl w:val="E5F2F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1C61ED"/>
    <w:multiLevelType w:val="hybridMultilevel"/>
    <w:tmpl w:val="0CC2AC06"/>
    <w:lvl w:ilvl="0" w:tplc="4314C1EC">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09AF2E7D"/>
    <w:multiLevelType w:val="hybridMultilevel"/>
    <w:tmpl w:val="6A5E16A4"/>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
    <w:nsid w:val="0DB1033C"/>
    <w:multiLevelType w:val="hybridMultilevel"/>
    <w:tmpl w:val="E12251D4"/>
    <w:lvl w:ilvl="0" w:tplc="E272B694">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
    <w:nsid w:val="0EE64553"/>
    <w:multiLevelType w:val="hybridMultilevel"/>
    <w:tmpl w:val="9314E3C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7">
    <w:nsid w:val="16CB2F20"/>
    <w:multiLevelType w:val="hybridMultilevel"/>
    <w:tmpl w:val="206EA744"/>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nsid w:val="174F6F21"/>
    <w:multiLevelType w:val="multilevel"/>
    <w:tmpl w:val="EC42485A"/>
    <w:lvl w:ilvl="0">
      <w:start w:val="1"/>
      <w:numFmt w:val="decimal"/>
      <w:pStyle w:val="Bullet4"/>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700"/>
        </w:tabs>
        <w:ind w:left="2700" w:hanging="72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E13677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nsid w:val="22A83B71"/>
    <w:multiLevelType w:val="multilevel"/>
    <w:tmpl w:val="6994C1A8"/>
    <w:lvl w:ilvl="0">
      <w:start w:val="1"/>
      <w:numFmt w:val="bullet"/>
      <w:pStyle w:val="BulletSingle"/>
      <w:lvlText w:val=""/>
      <w:lvlJc w:val="left"/>
      <w:pPr>
        <w:tabs>
          <w:tab w:val="num" w:pos="360"/>
        </w:tabs>
        <w:ind w:left="357" w:hanging="357"/>
      </w:pPr>
      <w:rPr>
        <w:rFonts w:ascii="Wingdings" w:hAnsi="Wingdings" w:hint="default"/>
        <w:sz w:val="20"/>
      </w:rPr>
    </w:lvl>
    <w:lvl w:ilvl="1">
      <w:start w:val="1"/>
      <w:numFmt w:val="bullet"/>
      <w:pStyle w:val="BulletSingle2"/>
      <w:lvlText w:val=""/>
      <w:lvlJc w:val="left"/>
      <w:pPr>
        <w:tabs>
          <w:tab w:val="num" w:pos="720"/>
        </w:tabs>
        <w:ind w:left="720" w:hanging="360"/>
      </w:pPr>
      <w:rPr>
        <w:rFonts w:ascii="Wingdings" w:hAnsi="Wingdings" w:hint="default"/>
        <w:sz w:val="20"/>
      </w:rPr>
    </w:lvl>
    <w:lvl w:ilvl="2">
      <w:start w:val="1"/>
      <w:numFmt w:val="bullet"/>
      <w:pStyle w:val="BulletSingle3"/>
      <w:lvlText w:val=""/>
      <w:lvlJc w:val="left"/>
      <w:pPr>
        <w:tabs>
          <w:tab w:val="num" w:pos="1080"/>
        </w:tabs>
        <w:ind w:left="1080" w:hanging="360"/>
      </w:pPr>
      <w:rPr>
        <w:rFonts w:ascii="Wingdings" w:hAnsi="Wingdings" w:hint="default"/>
        <w:sz w:val="20"/>
      </w:rPr>
    </w:lvl>
    <w:lvl w:ilvl="3">
      <w:start w:val="1"/>
      <w:numFmt w:val="bullet"/>
      <w:pStyle w:val="BulletSingle4"/>
      <w:lvlText w:val=""/>
      <w:lvlJc w:val="left"/>
      <w:pPr>
        <w:tabs>
          <w:tab w:val="num" w:pos="1800"/>
        </w:tabs>
        <w:ind w:left="1800" w:hanging="360"/>
      </w:pPr>
      <w:rPr>
        <w:rFonts w:ascii="Wingdings" w:hAnsi="Wingdings" w:hint="default"/>
        <w:sz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24771BA9"/>
    <w:multiLevelType w:val="hybridMultilevel"/>
    <w:tmpl w:val="B0148FA4"/>
    <w:lvl w:ilvl="0" w:tplc="49803A16">
      <w:start w:val="11"/>
      <w:numFmt w:val="decimal"/>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nsid w:val="2C5C6F77"/>
    <w:multiLevelType w:val="hybridMultilevel"/>
    <w:tmpl w:val="F5464546"/>
    <w:lvl w:ilvl="0" w:tplc="33C0DA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F551652"/>
    <w:multiLevelType w:val="hybridMultilevel"/>
    <w:tmpl w:val="F39A0F1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322A4331"/>
    <w:multiLevelType w:val="multilevel"/>
    <w:tmpl w:val="1B34DDAE"/>
    <w:lvl w:ilvl="0">
      <w:start w:val="1"/>
      <w:numFmt w:val="decimal"/>
      <w:lvlText w:val="%1."/>
      <w:lvlJc w:val="left"/>
      <w:pPr>
        <w:tabs>
          <w:tab w:val="num" w:pos="720"/>
        </w:tabs>
        <w:ind w:left="720" w:hanging="720"/>
      </w:pPr>
      <w:rPr>
        <w:rFonts w:hint="default"/>
        <w:b w:val="0"/>
      </w:rPr>
    </w:lvl>
    <w:lvl w:ilvl="1">
      <w:start w:val="1"/>
      <w:numFmt w:val="lowerLetter"/>
      <w:lvlText w:val="%2."/>
      <w:lvlJc w:val="left"/>
      <w:pPr>
        <w:tabs>
          <w:tab w:val="num" w:pos="1080"/>
        </w:tabs>
        <w:ind w:left="1080" w:hanging="360"/>
      </w:pPr>
    </w:lvl>
    <w:lvl w:ilvl="2">
      <w:start w:val="8"/>
      <w:numFmt w:val="upperLetter"/>
      <w:lvlText w:val="%3."/>
      <w:lvlJc w:val="left"/>
      <w:pPr>
        <w:ind w:left="1980" w:hanging="360"/>
      </w:pPr>
      <w:rPr>
        <w:rFonts w:hint="default"/>
      </w:rPr>
    </w:lvl>
    <w:lvl w:ilvl="3">
      <w:start w:val="1"/>
      <w:numFmt w:val="decimal"/>
      <w:lvlText w:val="(%4)"/>
      <w:lvlJc w:val="left"/>
      <w:pPr>
        <w:ind w:left="2520" w:hanging="360"/>
      </w:pPr>
      <w:rPr>
        <w:rFonts w:hint="default"/>
      </w:r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5">
    <w:nsid w:val="3546747E"/>
    <w:multiLevelType w:val="singleLevel"/>
    <w:tmpl w:val="FFF2907A"/>
    <w:lvl w:ilvl="0">
      <w:start w:val="1"/>
      <w:numFmt w:val="bullet"/>
      <w:lvlText w:val=""/>
      <w:lvlJc w:val="left"/>
      <w:pPr>
        <w:tabs>
          <w:tab w:val="num" w:pos="360"/>
        </w:tabs>
        <w:ind w:left="360" w:hanging="360"/>
      </w:pPr>
      <w:rPr>
        <w:rFonts w:ascii="Symbol" w:hAnsi="Symbol" w:hint="default"/>
      </w:rPr>
    </w:lvl>
  </w:abstractNum>
  <w:abstractNum w:abstractNumId="16">
    <w:nsid w:val="38E44637"/>
    <w:multiLevelType w:val="hybridMultilevel"/>
    <w:tmpl w:val="ECD2DF20"/>
    <w:lvl w:ilvl="0" w:tplc="48CC0DC2">
      <w:start w:val="1"/>
      <w:numFmt w:val="upperLetter"/>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3DB460F8"/>
    <w:multiLevelType w:val="multilevel"/>
    <w:tmpl w:val="D234C816"/>
    <w:lvl w:ilvl="0">
      <w:start w:val="1"/>
      <w:numFmt w:val="decimal"/>
      <w:lvlText w:val=" %1"/>
      <w:lvlJc w:val="left"/>
      <w:pPr>
        <w:tabs>
          <w:tab w:val="num" w:pos="720"/>
        </w:tabs>
        <w:ind w:left="720" w:hanging="720"/>
      </w:pPr>
      <w:rPr>
        <w:rFonts w:hint="default"/>
        <w:b w:val="0"/>
        <w:i w:val="0"/>
      </w:rPr>
    </w:lvl>
    <w:lvl w:ilvl="1">
      <w:start w:val="1"/>
      <w:numFmt w:val="decimal"/>
      <w:pStyle w:val="OutlineNum2"/>
      <w:lvlText w:val="%1.%2"/>
      <w:lvlJc w:val="left"/>
      <w:pPr>
        <w:tabs>
          <w:tab w:val="num" w:pos="720"/>
        </w:tabs>
        <w:ind w:left="720" w:hanging="720"/>
      </w:pPr>
      <w:rPr>
        <w:rFonts w:ascii="Arial" w:hAnsi="Arial" w:hint="default"/>
        <w:b w:val="0"/>
        <w:i w:val="0"/>
        <w:sz w:val="22"/>
        <w:szCs w:val="22"/>
      </w:rPr>
    </w:lvl>
    <w:lvl w:ilvl="2">
      <w:start w:val="1"/>
      <w:numFmt w:val="decimal"/>
      <w:pStyle w:val="OutlineNum3"/>
      <w:lvlText w:val="%1.%2.%3"/>
      <w:lvlJc w:val="left"/>
      <w:pPr>
        <w:tabs>
          <w:tab w:val="num" w:pos="1440"/>
        </w:tabs>
        <w:ind w:left="1440" w:hanging="720"/>
      </w:pPr>
      <w:rPr>
        <w:rFonts w:ascii="Times New Roman" w:hAnsi="Times New Roman" w:hint="default"/>
        <w:b w:val="0"/>
        <w:i w:val="0"/>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4186758C"/>
    <w:multiLevelType w:val="hybridMultilevel"/>
    <w:tmpl w:val="69BCD9AE"/>
    <w:lvl w:ilvl="0" w:tplc="9762FE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45A7221"/>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0">
    <w:nsid w:val="4E3D47D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nsid w:val="4FD32116"/>
    <w:multiLevelType w:val="singleLevel"/>
    <w:tmpl w:val="FFF2907A"/>
    <w:lvl w:ilvl="0">
      <w:start w:val="1"/>
      <w:numFmt w:val="bullet"/>
      <w:lvlText w:val=""/>
      <w:lvlJc w:val="left"/>
      <w:pPr>
        <w:tabs>
          <w:tab w:val="num" w:pos="360"/>
        </w:tabs>
        <w:ind w:left="360" w:hanging="360"/>
      </w:pPr>
      <w:rPr>
        <w:rFonts w:ascii="Symbol" w:hAnsi="Symbol" w:hint="default"/>
      </w:rPr>
    </w:lvl>
  </w:abstractNum>
  <w:abstractNum w:abstractNumId="22">
    <w:nsid w:val="54742E0B"/>
    <w:multiLevelType w:val="singleLevel"/>
    <w:tmpl w:val="74E28358"/>
    <w:lvl w:ilvl="0">
      <w:start w:val="2"/>
      <w:numFmt w:val="bullet"/>
      <w:lvlText w:val="-"/>
      <w:lvlJc w:val="left"/>
      <w:pPr>
        <w:tabs>
          <w:tab w:val="num" w:pos="825"/>
        </w:tabs>
        <w:ind w:left="825" w:hanging="393"/>
      </w:pPr>
      <w:rPr>
        <w:rFonts w:ascii="Times New Roman" w:hAnsi="Times New Roman" w:hint="default"/>
      </w:rPr>
    </w:lvl>
  </w:abstractNum>
  <w:abstractNum w:abstractNumId="23">
    <w:nsid w:val="585D40B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nsid w:val="629531B8"/>
    <w:multiLevelType w:val="hybridMultilevel"/>
    <w:tmpl w:val="04E87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4C77DA0"/>
    <w:multiLevelType w:val="singleLevel"/>
    <w:tmpl w:val="FFF2907A"/>
    <w:lvl w:ilvl="0">
      <w:start w:val="1"/>
      <w:numFmt w:val="bullet"/>
      <w:lvlText w:val=""/>
      <w:lvlJc w:val="left"/>
      <w:pPr>
        <w:tabs>
          <w:tab w:val="num" w:pos="360"/>
        </w:tabs>
        <w:ind w:left="360" w:hanging="360"/>
      </w:pPr>
      <w:rPr>
        <w:rFonts w:ascii="Symbol" w:hAnsi="Symbol" w:hint="default"/>
      </w:rPr>
    </w:lvl>
  </w:abstractNum>
  <w:abstractNum w:abstractNumId="26">
    <w:nsid w:val="66075A2B"/>
    <w:multiLevelType w:val="singleLevel"/>
    <w:tmpl w:val="FFF2907A"/>
    <w:lvl w:ilvl="0">
      <w:start w:val="1"/>
      <w:numFmt w:val="bullet"/>
      <w:lvlText w:val=""/>
      <w:lvlJc w:val="left"/>
      <w:pPr>
        <w:tabs>
          <w:tab w:val="num" w:pos="360"/>
        </w:tabs>
        <w:ind w:left="360" w:hanging="360"/>
      </w:pPr>
      <w:rPr>
        <w:rFonts w:ascii="Symbol" w:hAnsi="Symbol" w:hint="default"/>
      </w:rPr>
    </w:lvl>
  </w:abstractNum>
  <w:abstractNum w:abstractNumId="27">
    <w:nsid w:val="66621203"/>
    <w:multiLevelType w:val="hybridMultilevel"/>
    <w:tmpl w:val="45706A08"/>
    <w:lvl w:ilvl="0" w:tplc="0809001B">
      <w:start w:val="1"/>
      <w:numFmt w:val="lowerRoman"/>
      <w:lvlText w:val="%1."/>
      <w:lvlJc w:val="righ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8">
    <w:nsid w:val="70BA5874"/>
    <w:multiLevelType w:val="singleLevel"/>
    <w:tmpl w:val="FFF2907A"/>
    <w:lvl w:ilvl="0">
      <w:start w:val="1"/>
      <w:numFmt w:val="bullet"/>
      <w:lvlText w:val=""/>
      <w:lvlJc w:val="left"/>
      <w:pPr>
        <w:tabs>
          <w:tab w:val="num" w:pos="360"/>
        </w:tabs>
        <w:ind w:left="360" w:hanging="360"/>
      </w:pPr>
      <w:rPr>
        <w:rFonts w:ascii="Symbol" w:hAnsi="Symbol" w:hint="default"/>
      </w:rPr>
    </w:lvl>
  </w:abstractNum>
  <w:abstractNum w:abstractNumId="29">
    <w:nsid w:val="7DE93843"/>
    <w:multiLevelType w:val="hybridMultilevel"/>
    <w:tmpl w:val="575E1D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F7B6D5D"/>
    <w:multiLevelType w:val="singleLevel"/>
    <w:tmpl w:val="C6F41AE2"/>
    <w:lvl w:ilvl="0">
      <w:start w:val="1"/>
      <w:numFmt w:val="decimal"/>
      <w:lvlText w:val="%1."/>
      <w:lvlJc w:val="left"/>
      <w:pPr>
        <w:tabs>
          <w:tab w:val="num" w:pos="360"/>
        </w:tabs>
        <w:ind w:left="360" w:hanging="360"/>
      </w:pPr>
      <w:rPr>
        <w:rFonts w:ascii="Arial" w:hAnsi="Arial" w:cs="Times New Roman" w:hint="default"/>
        <w:b/>
        <w:i w:val="0"/>
        <w:sz w:val="20"/>
      </w:rPr>
    </w:lvl>
  </w:abstractNum>
  <w:abstractNum w:abstractNumId="31">
    <w:nsid w:val="7FBB6A61"/>
    <w:multiLevelType w:val="hybridMultilevel"/>
    <w:tmpl w:val="8D709F40"/>
    <w:lvl w:ilvl="0" w:tplc="49803A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14"/>
  </w:num>
  <w:num w:numId="3">
    <w:abstractNumId w:val="0"/>
  </w:num>
  <w:num w:numId="4">
    <w:abstractNumId w:val="22"/>
  </w:num>
  <w:num w:numId="5">
    <w:abstractNumId w:val="20"/>
  </w:num>
  <w:num w:numId="6">
    <w:abstractNumId w:val="8"/>
  </w:num>
  <w:num w:numId="7">
    <w:abstractNumId w:val="17"/>
  </w:num>
  <w:num w:numId="8">
    <w:abstractNumId w:val="10"/>
  </w:num>
  <w:num w:numId="9">
    <w:abstractNumId w:val="3"/>
  </w:num>
  <w:num w:numId="10">
    <w:abstractNumId w:val="16"/>
  </w:num>
  <w:num w:numId="11">
    <w:abstractNumId w:val="18"/>
  </w:num>
  <w:num w:numId="12">
    <w:abstractNumId w:val="6"/>
  </w:num>
  <w:num w:numId="13">
    <w:abstractNumId w:val="25"/>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23"/>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startOverride w:val="1"/>
    </w:lvlOverride>
  </w:num>
  <w:num w:numId="20">
    <w:abstractNumId w:val="26"/>
  </w:num>
  <w:num w:numId="21">
    <w:abstractNumId w:val="15"/>
  </w:num>
  <w:num w:numId="22">
    <w:abstractNumId w:val="21"/>
  </w:num>
  <w:num w:numId="23">
    <w:abstractNumId w:val="28"/>
  </w:num>
  <w:num w:numId="24">
    <w:abstractNumId w:val="27"/>
  </w:num>
  <w:num w:numId="25">
    <w:abstractNumId w:val="12"/>
  </w:num>
  <w:num w:numId="26">
    <w:abstractNumId w:val="5"/>
  </w:num>
  <w:num w:numId="27">
    <w:abstractNumId w:val="24"/>
  </w:num>
  <w:num w:numId="28">
    <w:abstractNumId w:val="29"/>
  </w:num>
  <w:num w:numId="29">
    <w:abstractNumId w:val="11"/>
  </w:num>
  <w:num w:numId="30">
    <w:abstractNumId w:val="31"/>
  </w:num>
  <w:num w:numId="31">
    <w:abstractNumId w:val="1"/>
  </w:num>
  <w:num w:numId="32">
    <w:abstractNumId w:val="2"/>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activeWritingStyle w:appName="MSWord" w:lang="en-GB" w:vendorID="8" w:dllVersion="513" w:checkStyle="1"/>
  <w:activeWritingStyle w:appName="MSWord" w:lang="en-US" w:vendorID="8" w:dllVersion="513" w:checkStyle="1"/>
  <w:proofState w:spelling="clean" w:grammar="clean"/>
  <w:stylePaneFormatFilter w:val="3F01"/>
  <w:doNotTrackMoves/>
  <w:defaultTabStop w:val="2098"/>
  <w:displayHorizontalDrawingGridEvery w:val="0"/>
  <w:displayVerticalDrawingGridEvery w:val="0"/>
  <w:doNotUseMarginsForDrawingGridOrigin/>
  <w:noPunctuationKerning/>
  <w:characterSpacingControl w:val="doNotCompress"/>
  <w:hdrShapeDefaults>
    <o:shapedefaults v:ext="edit" spidmax="24577">
      <o:colormru v:ext="edit" colors="#ddd,green"/>
    </o:shapedefaults>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B417A"/>
    <w:rsid w:val="00002C05"/>
    <w:rsid w:val="00003922"/>
    <w:rsid w:val="000040C1"/>
    <w:rsid w:val="000057BE"/>
    <w:rsid w:val="00007603"/>
    <w:rsid w:val="00007B30"/>
    <w:rsid w:val="00010A11"/>
    <w:rsid w:val="00010DC9"/>
    <w:rsid w:val="00011588"/>
    <w:rsid w:val="00015FF1"/>
    <w:rsid w:val="0001765A"/>
    <w:rsid w:val="000204EE"/>
    <w:rsid w:val="00020707"/>
    <w:rsid w:val="00021ACF"/>
    <w:rsid w:val="0002246F"/>
    <w:rsid w:val="0002609B"/>
    <w:rsid w:val="000312BC"/>
    <w:rsid w:val="0003312C"/>
    <w:rsid w:val="000337BD"/>
    <w:rsid w:val="00042AA6"/>
    <w:rsid w:val="00042FA2"/>
    <w:rsid w:val="00043762"/>
    <w:rsid w:val="000447B5"/>
    <w:rsid w:val="000448B5"/>
    <w:rsid w:val="00045180"/>
    <w:rsid w:val="0004576F"/>
    <w:rsid w:val="000461D8"/>
    <w:rsid w:val="00050438"/>
    <w:rsid w:val="00054781"/>
    <w:rsid w:val="000551AB"/>
    <w:rsid w:val="00055E5C"/>
    <w:rsid w:val="00056E67"/>
    <w:rsid w:val="00060342"/>
    <w:rsid w:val="0006060A"/>
    <w:rsid w:val="00060E6D"/>
    <w:rsid w:val="00066E4C"/>
    <w:rsid w:val="00073F5E"/>
    <w:rsid w:val="00083031"/>
    <w:rsid w:val="00084BC1"/>
    <w:rsid w:val="00085FCE"/>
    <w:rsid w:val="00091001"/>
    <w:rsid w:val="000942CE"/>
    <w:rsid w:val="000946DA"/>
    <w:rsid w:val="00095382"/>
    <w:rsid w:val="0009641E"/>
    <w:rsid w:val="0009677B"/>
    <w:rsid w:val="0009705F"/>
    <w:rsid w:val="000A10A1"/>
    <w:rsid w:val="000A2416"/>
    <w:rsid w:val="000A3FCD"/>
    <w:rsid w:val="000A48AF"/>
    <w:rsid w:val="000A54B3"/>
    <w:rsid w:val="000A71CB"/>
    <w:rsid w:val="000A7A2D"/>
    <w:rsid w:val="000B0126"/>
    <w:rsid w:val="000B1204"/>
    <w:rsid w:val="000B219A"/>
    <w:rsid w:val="000B2827"/>
    <w:rsid w:val="000B6591"/>
    <w:rsid w:val="000B6EED"/>
    <w:rsid w:val="000B71AD"/>
    <w:rsid w:val="000C375D"/>
    <w:rsid w:val="000C50AF"/>
    <w:rsid w:val="000C5D95"/>
    <w:rsid w:val="000C7ED3"/>
    <w:rsid w:val="000D02DB"/>
    <w:rsid w:val="000D03D5"/>
    <w:rsid w:val="000D5258"/>
    <w:rsid w:val="000D5991"/>
    <w:rsid w:val="000D6BF5"/>
    <w:rsid w:val="000E1D8A"/>
    <w:rsid w:val="000E47DB"/>
    <w:rsid w:val="000E7D80"/>
    <w:rsid w:val="000F1578"/>
    <w:rsid w:val="000F1BBF"/>
    <w:rsid w:val="000F2884"/>
    <w:rsid w:val="000F699B"/>
    <w:rsid w:val="000F7FDA"/>
    <w:rsid w:val="0010099D"/>
    <w:rsid w:val="0010528B"/>
    <w:rsid w:val="00105321"/>
    <w:rsid w:val="00105BC2"/>
    <w:rsid w:val="00112D54"/>
    <w:rsid w:val="00114AFA"/>
    <w:rsid w:val="00116633"/>
    <w:rsid w:val="00117391"/>
    <w:rsid w:val="00117975"/>
    <w:rsid w:val="00120A58"/>
    <w:rsid w:val="00123C37"/>
    <w:rsid w:val="00124268"/>
    <w:rsid w:val="00127B8E"/>
    <w:rsid w:val="00130243"/>
    <w:rsid w:val="001323A8"/>
    <w:rsid w:val="001327AB"/>
    <w:rsid w:val="0013321B"/>
    <w:rsid w:val="0013578F"/>
    <w:rsid w:val="0013585F"/>
    <w:rsid w:val="00135D8E"/>
    <w:rsid w:val="00136310"/>
    <w:rsid w:val="001417CF"/>
    <w:rsid w:val="00141C1D"/>
    <w:rsid w:val="00143164"/>
    <w:rsid w:val="00143209"/>
    <w:rsid w:val="00144ECD"/>
    <w:rsid w:val="001478E0"/>
    <w:rsid w:val="00147B03"/>
    <w:rsid w:val="001507B4"/>
    <w:rsid w:val="001536D2"/>
    <w:rsid w:val="00154DD3"/>
    <w:rsid w:val="00156197"/>
    <w:rsid w:val="001566C9"/>
    <w:rsid w:val="00156869"/>
    <w:rsid w:val="0016326A"/>
    <w:rsid w:val="001632AF"/>
    <w:rsid w:val="00166C65"/>
    <w:rsid w:val="00167CF2"/>
    <w:rsid w:val="00170654"/>
    <w:rsid w:val="00171192"/>
    <w:rsid w:val="00171D57"/>
    <w:rsid w:val="00172DDF"/>
    <w:rsid w:val="0017336D"/>
    <w:rsid w:val="00174932"/>
    <w:rsid w:val="001749B7"/>
    <w:rsid w:val="0017515A"/>
    <w:rsid w:val="00175F9E"/>
    <w:rsid w:val="001765E3"/>
    <w:rsid w:val="00180744"/>
    <w:rsid w:val="00180C53"/>
    <w:rsid w:val="00181B87"/>
    <w:rsid w:val="001844CD"/>
    <w:rsid w:val="00185726"/>
    <w:rsid w:val="0018673A"/>
    <w:rsid w:val="00192841"/>
    <w:rsid w:val="00193ECB"/>
    <w:rsid w:val="00197DCD"/>
    <w:rsid w:val="001A1574"/>
    <w:rsid w:val="001A306A"/>
    <w:rsid w:val="001A50B6"/>
    <w:rsid w:val="001A5AA3"/>
    <w:rsid w:val="001B0A3B"/>
    <w:rsid w:val="001B1740"/>
    <w:rsid w:val="001B3267"/>
    <w:rsid w:val="001B4BDF"/>
    <w:rsid w:val="001B632C"/>
    <w:rsid w:val="001B6654"/>
    <w:rsid w:val="001B759A"/>
    <w:rsid w:val="001C0D1F"/>
    <w:rsid w:val="001C3101"/>
    <w:rsid w:val="001C3B0A"/>
    <w:rsid w:val="001C5A97"/>
    <w:rsid w:val="001C5EE0"/>
    <w:rsid w:val="001C6452"/>
    <w:rsid w:val="001D02DE"/>
    <w:rsid w:val="001D3559"/>
    <w:rsid w:val="001D536F"/>
    <w:rsid w:val="001D71E8"/>
    <w:rsid w:val="001E3B74"/>
    <w:rsid w:val="001E4952"/>
    <w:rsid w:val="001F57D8"/>
    <w:rsid w:val="001F5E41"/>
    <w:rsid w:val="001F6958"/>
    <w:rsid w:val="0020046D"/>
    <w:rsid w:val="0020245C"/>
    <w:rsid w:val="002024AD"/>
    <w:rsid w:val="0020256C"/>
    <w:rsid w:val="00206047"/>
    <w:rsid w:val="00206086"/>
    <w:rsid w:val="00216109"/>
    <w:rsid w:val="0021623E"/>
    <w:rsid w:val="00216A20"/>
    <w:rsid w:val="002226A1"/>
    <w:rsid w:val="00226F98"/>
    <w:rsid w:val="00226FB6"/>
    <w:rsid w:val="00230F62"/>
    <w:rsid w:val="00231AC0"/>
    <w:rsid w:val="00234C30"/>
    <w:rsid w:val="002350A5"/>
    <w:rsid w:val="00235B52"/>
    <w:rsid w:val="00236915"/>
    <w:rsid w:val="00240DA0"/>
    <w:rsid w:val="00241F4C"/>
    <w:rsid w:val="002469DD"/>
    <w:rsid w:val="0025340C"/>
    <w:rsid w:val="00260A03"/>
    <w:rsid w:val="0026143F"/>
    <w:rsid w:val="002620A0"/>
    <w:rsid w:val="002621A9"/>
    <w:rsid w:val="002627C3"/>
    <w:rsid w:val="00266ABC"/>
    <w:rsid w:val="00266D33"/>
    <w:rsid w:val="00267E91"/>
    <w:rsid w:val="00271813"/>
    <w:rsid w:val="00281D11"/>
    <w:rsid w:val="0028430D"/>
    <w:rsid w:val="00285080"/>
    <w:rsid w:val="00286610"/>
    <w:rsid w:val="00287054"/>
    <w:rsid w:val="00287FDF"/>
    <w:rsid w:val="0029252F"/>
    <w:rsid w:val="00292D14"/>
    <w:rsid w:val="002939AE"/>
    <w:rsid w:val="00293F72"/>
    <w:rsid w:val="00294682"/>
    <w:rsid w:val="00294CF8"/>
    <w:rsid w:val="002979E9"/>
    <w:rsid w:val="002A02A8"/>
    <w:rsid w:val="002A04EF"/>
    <w:rsid w:val="002A6A7B"/>
    <w:rsid w:val="002B2B44"/>
    <w:rsid w:val="002B32C0"/>
    <w:rsid w:val="002C009D"/>
    <w:rsid w:val="002C0877"/>
    <w:rsid w:val="002C445D"/>
    <w:rsid w:val="002C5BDB"/>
    <w:rsid w:val="002C7D07"/>
    <w:rsid w:val="002D2D4D"/>
    <w:rsid w:val="002D5F9F"/>
    <w:rsid w:val="002D6A7F"/>
    <w:rsid w:val="002D6E80"/>
    <w:rsid w:val="002D77A2"/>
    <w:rsid w:val="002E00A1"/>
    <w:rsid w:val="002E06A4"/>
    <w:rsid w:val="002E0A2C"/>
    <w:rsid w:val="002E22A2"/>
    <w:rsid w:val="002E2805"/>
    <w:rsid w:val="002E3CF8"/>
    <w:rsid w:val="002E5C1F"/>
    <w:rsid w:val="002E6848"/>
    <w:rsid w:val="002E7C92"/>
    <w:rsid w:val="002F6CA1"/>
    <w:rsid w:val="002F7717"/>
    <w:rsid w:val="002F77BC"/>
    <w:rsid w:val="003019BC"/>
    <w:rsid w:val="003039F6"/>
    <w:rsid w:val="00303AC4"/>
    <w:rsid w:val="00303DC0"/>
    <w:rsid w:val="00304D4D"/>
    <w:rsid w:val="00305EF3"/>
    <w:rsid w:val="00305FAF"/>
    <w:rsid w:val="00320722"/>
    <w:rsid w:val="003207B3"/>
    <w:rsid w:val="0032114B"/>
    <w:rsid w:val="00323915"/>
    <w:rsid w:val="00325350"/>
    <w:rsid w:val="003253EA"/>
    <w:rsid w:val="00330716"/>
    <w:rsid w:val="00330F82"/>
    <w:rsid w:val="003328F2"/>
    <w:rsid w:val="003332F4"/>
    <w:rsid w:val="0034145A"/>
    <w:rsid w:val="00342441"/>
    <w:rsid w:val="003454E5"/>
    <w:rsid w:val="0034723C"/>
    <w:rsid w:val="00351673"/>
    <w:rsid w:val="00354CD5"/>
    <w:rsid w:val="003606AE"/>
    <w:rsid w:val="003609C1"/>
    <w:rsid w:val="003611D5"/>
    <w:rsid w:val="00362437"/>
    <w:rsid w:val="003630D5"/>
    <w:rsid w:val="0036628F"/>
    <w:rsid w:val="00366606"/>
    <w:rsid w:val="00366758"/>
    <w:rsid w:val="0036745E"/>
    <w:rsid w:val="003723CA"/>
    <w:rsid w:val="003758D5"/>
    <w:rsid w:val="00376A89"/>
    <w:rsid w:val="003839E9"/>
    <w:rsid w:val="00384193"/>
    <w:rsid w:val="00386250"/>
    <w:rsid w:val="00390D09"/>
    <w:rsid w:val="003920CF"/>
    <w:rsid w:val="00392E61"/>
    <w:rsid w:val="00394C5F"/>
    <w:rsid w:val="00394D30"/>
    <w:rsid w:val="0039509F"/>
    <w:rsid w:val="00396165"/>
    <w:rsid w:val="00396C6B"/>
    <w:rsid w:val="003A591D"/>
    <w:rsid w:val="003A77E0"/>
    <w:rsid w:val="003B106A"/>
    <w:rsid w:val="003B1844"/>
    <w:rsid w:val="003B2827"/>
    <w:rsid w:val="003B2A4C"/>
    <w:rsid w:val="003B3A41"/>
    <w:rsid w:val="003B412F"/>
    <w:rsid w:val="003B4A69"/>
    <w:rsid w:val="003B59E8"/>
    <w:rsid w:val="003B6578"/>
    <w:rsid w:val="003C1785"/>
    <w:rsid w:val="003C3E11"/>
    <w:rsid w:val="003C4047"/>
    <w:rsid w:val="003C5225"/>
    <w:rsid w:val="003C52C2"/>
    <w:rsid w:val="003D21D8"/>
    <w:rsid w:val="003E13E4"/>
    <w:rsid w:val="003E4A17"/>
    <w:rsid w:val="003E4FE8"/>
    <w:rsid w:val="003F21F1"/>
    <w:rsid w:val="003F36B9"/>
    <w:rsid w:val="003F3A3A"/>
    <w:rsid w:val="004038DF"/>
    <w:rsid w:val="00410808"/>
    <w:rsid w:val="00410BB8"/>
    <w:rsid w:val="004126C0"/>
    <w:rsid w:val="00413712"/>
    <w:rsid w:val="00414F67"/>
    <w:rsid w:val="00422904"/>
    <w:rsid w:val="00422F84"/>
    <w:rsid w:val="00433A1B"/>
    <w:rsid w:val="004362BE"/>
    <w:rsid w:val="0043739E"/>
    <w:rsid w:val="0043789A"/>
    <w:rsid w:val="00442CEC"/>
    <w:rsid w:val="00445FCD"/>
    <w:rsid w:val="0044610A"/>
    <w:rsid w:val="00447826"/>
    <w:rsid w:val="00452644"/>
    <w:rsid w:val="004544D8"/>
    <w:rsid w:val="00454CB3"/>
    <w:rsid w:val="00456AFD"/>
    <w:rsid w:val="00457029"/>
    <w:rsid w:val="00457E5A"/>
    <w:rsid w:val="004605C1"/>
    <w:rsid w:val="00462AA2"/>
    <w:rsid w:val="00473E25"/>
    <w:rsid w:val="00480580"/>
    <w:rsid w:val="00480A6A"/>
    <w:rsid w:val="00485DCE"/>
    <w:rsid w:val="004931B5"/>
    <w:rsid w:val="004954D1"/>
    <w:rsid w:val="0049585F"/>
    <w:rsid w:val="00496808"/>
    <w:rsid w:val="004A0240"/>
    <w:rsid w:val="004A13FA"/>
    <w:rsid w:val="004A336E"/>
    <w:rsid w:val="004A387A"/>
    <w:rsid w:val="004A54D6"/>
    <w:rsid w:val="004A71DD"/>
    <w:rsid w:val="004A7F93"/>
    <w:rsid w:val="004B0BD1"/>
    <w:rsid w:val="004B2E87"/>
    <w:rsid w:val="004B54C4"/>
    <w:rsid w:val="004B6530"/>
    <w:rsid w:val="004C16AF"/>
    <w:rsid w:val="004C1B1E"/>
    <w:rsid w:val="004C5138"/>
    <w:rsid w:val="004C6472"/>
    <w:rsid w:val="004C6841"/>
    <w:rsid w:val="004C6BD2"/>
    <w:rsid w:val="004C719E"/>
    <w:rsid w:val="004D4E74"/>
    <w:rsid w:val="004D52E9"/>
    <w:rsid w:val="004D70F0"/>
    <w:rsid w:val="004E10D7"/>
    <w:rsid w:val="004E1CF8"/>
    <w:rsid w:val="004E3272"/>
    <w:rsid w:val="004E5100"/>
    <w:rsid w:val="004E7F79"/>
    <w:rsid w:val="004F13BB"/>
    <w:rsid w:val="004F1AD8"/>
    <w:rsid w:val="005001C2"/>
    <w:rsid w:val="0050031E"/>
    <w:rsid w:val="005014EA"/>
    <w:rsid w:val="00502A69"/>
    <w:rsid w:val="00504AFC"/>
    <w:rsid w:val="00504E9A"/>
    <w:rsid w:val="005068D7"/>
    <w:rsid w:val="00513E21"/>
    <w:rsid w:val="00514426"/>
    <w:rsid w:val="0051676C"/>
    <w:rsid w:val="00517D90"/>
    <w:rsid w:val="00526088"/>
    <w:rsid w:val="00526BC4"/>
    <w:rsid w:val="00527DAF"/>
    <w:rsid w:val="00531965"/>
    <w:rsid w:val="00532E08"/>
    <w:rsid w:val="005358F8"/>
    <w:rsid w:val="0054063F"/>
    <w:rsid w:val="00541DA0"/>
    <w:rsid w:val="00542B0F"/>
    <w:rsid w:val="00543639"/>
    <w:rsid w:val="00543872"/>
    <w:rsid w:val="005514E7"/>
    <w:rsid w:val="00551836"/>
    <w:rsid w:val="0055201F"/>
    <w:rsid w:val="0055205A"/>
    <w:rsid w:val="005535AF"/>
    <w:rsid w:val="005565E8"/>
    <w:rsid w:val="005606D8"/>
    <w:rsid w:val="00561214"/>
    <w:rsid w:val="0056152E"/>
    <w:rsid w:val="00562A1E"/>
    <w:rsid w:val="0056563E"/>
    <w:rsid w:val="00566593"/>
    <w:rsid w:val="00567ECC"/>
    <w:rsid w:val="005741AD"/>
    <w:rsid w:val="00574EB7"/>
    <w:rsid w:val="00575582"/>
    <w:rsid w:val="00575B57"/>
    <w:rsid w:val="00576993"/>
    <w:rsid w:val="00577B84"/>
    <w:rsid w:val="00577E66"/>
    <w:rsid w:val="00583F69"/>
    <w:rsid w:val="00586E5F"/>
    <w:rsid w:val="005877C4"/>
    <w:rsid w:val="005949D0"/>
    <w:rsid w:val="00595139"/>
    <w:rsid w:val="005A09E8"/>
    <w:rsid w:val="005A35D6"/>
    <w:rsid w:val="005A386E"/>
    <w:rsid w:val="005A3F29"/>
    <w:rsid w:val="005A4086"/>
    <w:rsid w:val="005B1A9F"/>
    <w:rsid w:val="005B2137"/>
    <w:rsid w:val="005B22CB"/>
    <w:rsid w:val="005B5078"/>
    <w:rsid w:val="005C35F8"/>
    <w:rsid w:val="005C3A09"/>
    <w:rsid w:val="005C527A"/>
    <w:rsid w:val="005C603B"/>
    <w:rsid w:val="005C60A7"/>
    <w:rsid w:val="005C6D7D"/>
    <w:rsid w:val="005D0ECC"/>
    <w:rsid w:val="005D1391"/>
    <w:rsid w:val="005D170B"/>
    <w:rsid w:val="005D27A4"/>
    <w:rsid w:val="005D5A3D"/>
    <w:rsid w:val="005D730F"/>
    <w:rsid w:val="005E0940"/>
    <w:rsid w:val="005E2F8B"/>
    <w:rsid w:val="005E3B68"/>
    <w:rsid w:val="005E424E"/>
    <w:rsid w:val="005E55D3"/>
    <w:rsid w:val="005E753A"/>
    <w:rsid w:val="005F0092"/>
    <w:rsid w:val="005F0FF2"/>
    <w:rsid w:val="005F2996"/>
    <w:rsid w:val="005F5DB3"/>
    <w:rsid w:val="005F7CB6"/>
    <w:rsid w:val="00610562"/>
    <w:rsid w:val="00610A7E"/>
    <w:rsid w:val="00611208"/>
    <w:rsid w:val="006112E5"/>
    <w:rsid w:val="006113CB"/>
    <w:rsid w:val="006117D8"/>
    <w:rsid w:val="00613205"/>
    <w:rsid w:val="006137D0"/>
    <w:rsid w:val="00615524"/>
    <w:rsid w:val="00623954"/>
    <w:rsid w:val="00625FDD"/>
    <w:rsid w:val="00626516"/>
    <w:rsid w:val="0062759D"/>
    <w:rsid w:val="006323F3"/>
    <w:rsid w:val="00633585"/>
    <w:rsid w:val="00633895"/>
    <w:rsid w:val="006343DA"/>
    <w:rsid w:val="00635FB0"/>
    <w:rsid w:val="006360BE"/>
    <w:rsid w:val="00641432"/>
    <w:rsid w:val="00642CDA"/>
    <w:rsid w:val="00647458"/>
    <w:rsid w:val="00653329"/>
    <w:rsid w:val="00653ED4"/>
    <w:rsid w:val="00654475"/>
    <w:rsid w:val="00655594"/>
    <w:rsid w:val="006557AD"/>
    <w:rsid w:val="0065689B"/>
    <w:rsid w:val="00657E22"/>
    <w:rsid w:val="00664B7D"/>
    <w:rsid w:val="006727EF"/>
    <w:rsid w:val="00684824"/>
    <w:rsid w:val="006857BD"/>
    <w:rsid w:val="00686CCC"/>
    <w:rsid w:val="00686DA4"/>
    <w:rsid w:val="00690124"/>
    <w:rsid w:val="00690954"/>
    <w:rsid w:val="0069537B"/>
    <w:rsid w:val="006965EF"/>
    <w:rsid w:val="00696760"/>
    <w:rsid w:val="006A1286"/>
    <w:rsid w:val="006A2F00"/>
    <w:rsid w:val="006A714B"/>
    <w:rsid w:val="006A7CAF"/>
    <w:rsid w:val="006B0BDC"/>
    <w:rsid w:val="006B1017"/>
    <w:rsid w:val="006B5964"/>
    <w:rsid w:val="006B76A5"/>
    <w:rsid w:val="006C3C02"/>
    <w:rsid w:val="006C549A"/>
    <w:rsid w:val="006D2363"/>
    <w:rsid w:val="006D2B7D"/>
    <w:rsid w:val="006E0FE4"/>
    <w:rsid w:val="006E1493"/>
    <w:rsid w:val="006E18CB"/>
    <w:rsid w:val="006E2C6A"/>
    <w:rsid w:val="006F04B7"/>
    <w:rsid w:val="006F14B9"/>
    <w:rsid w:val="006F3152"/>
    <w:rsid w:val="006F3BCC"/>
    <w:rsid w:val="006F4F37"/>
    <w:rsid w:val="006F5B84"/>
    <w:rsid w:val="0070095F"/>
    <w:rsid w:val="00701D59"/>
    <w:rsid w:val="00702514"/>
    <w:rsid w:val="0071087F"/>
    <w:rsid w:val="007113AF"/>
    <w:rsid w:val="007128F2"/>
    <w:rsid w:val="00714826"/>
    <w:rsid w:val="007168F4"/>
    <w:rsid w:val="00716D50"/>
    <w:rsid w:val="00717C71"/>
    <w:rsid w:val="00722784"/>
    <w:rsid w:val="00722AB7"/>
    <w:rsid w:val="00730387"/>
    <w:rsid w:val="0073238B"/>
    <w:rsid w:val="00733055"/>
    <w:rsid w:val="00740595"/>
    <w:rsid w:val="00740FA3"/>
    <w:rsid w:val="00742684"/>
    <w:rsid w:val="00742B40"/>
    <w:rsid w:val="00743668"/>
    <w:rsid w:val="00751AD5"/>
    <w:rsid w:val="0075335E"/>
    <w:rsid w:val="00754C99"/>
    <w:rsid w:val="0075538E"/>
    <w:rsid w:val="00756674"/>
    <w:rsid w:val="00760860"/>
    <w:rsid w:val="0076231E"/>
    <w:rsid w:val="00762EE4"/>
    <w:rsid w:val="007677BF"/>
    <w:rsid w:val="007709F5"/>
    <w:rsid w:val="00771309"/>
    <w:rsid w:val="00781D1C"/>
    <w:rsid w:val="00786A7C"/>
    <w:rsid w:val="00790DF3"/>
    <w:rsid w:val="007926D1"/>
    <w:rsid w:val="007928AF"/>
    <w:rsid w:val="00794244"/>
    <w:rsid w:val="00796C85"/>
    <w:rsid w:val="007A026A"/>
    <w:rsid w:val="007A7EDB"/>
    <w:rsid w:val="007B0E0F"/>
    <w:rsid w:val="007B1D1D"/>
    <w:rsid w:val="007B5E66"/>
    <w:rsid w:val="007C0414"/>
    <w:rsid w:val="007C0A84"/>
    <w:rsid w:val="007C0E80"/>
    <w:rsid w:val="007C157F"/>
    <w:rsid w:val="007C60B2"/>
    <w:rsid w:val="007C7305"/>
    <w:rsid w:val="007D0042"/>
    <w:rsid w:val="007D1211"/>
    <w:rsid w:val="007D18EB"/>
    <w:rsid w:val="007D293F"/>
    <w:rsid w:val="007D2CAE"/>
    <w:rsid w:val="007D4178"/>
    <w:rsid w:val="007D47CF"/>
    <w:rsid w:val="007D4ABB"/>
    <w:rsid w:val="007D4C97"/>
    <w:rsid w:val="007D54DB"/>
    <w:rsid w:val="007D7676"/>
    <w:rsid w:val="007E26F9"/>
    <w:rsid w:val="007E348B"/>
    <w:rsid w:val="007E52A9"/>
    <w:rsid w:val="007E6041"/>
    <w:rsid w:val="007E7044"/>
    <w:rsid w:val="007F0F3B"/>
    <w:rsid w:val="007F1477"/>
    <w:rsid w:val="007F5E6A"/>
    <w:rsid w:val="007F5EFC"/>
    <w:rsid w:val="008010E4"/>
    <w:rsid w:val="00801CA2"/>
    <w:rsid w:val="008042D1"/>
    <w:rsid w:val="00810ACA"/>
    <w:rsid w:val="00810BA9"/>
    <w:rsid w:val="00811A44"/>
    <w:rsid w:val="00811D32"/>
    <w:rsid w:val="00811FEA"/>
    <w:rsid w:val="0081206A"/>
    <w:rsid w:val="008123C2"/>
    <w:rsid w:val="0081343C"/>
    <w:rsid w:val="00814E8D"/>
    <w:rsid w:val="00814F24"/>
    <w:rsid w:val="0081537C"/>
    <w:rsid w:val="00817DB0"/>
    <w:rsid w:val="00820448"/>
    <w:rsid w:val="00824523"/>
    <w:rsid w:val="008256BB"/>
    <w:rsid w:val="008321D2"/>
    <w:rsid w:val="0083436C"/>
    <w:rsid w:val="00835DFA"/>
    <w:rsid w:val="00837823"/>
    <w:rsid w:val="0084570C"/>
    <w:rsid w:val="00845754"/>
    <w:rsid w:val="00845A32"/>
    <w:rsid w:val="00847ED9"/>
    <w:rsid w:val="008538AB"/>
    <w:rsid w:val="00856114"/>
    <w:rsid w:val="00860C6B"/>
    <w:rsid w:val="0086294C"/>
    <w:rsid w:val="008632DF"/>
    <w:rsid w:val="00865220"/>
    <w:rsid w:val="00866386"/>
    <w:rsid w:val="00867453"/>
    <w:rsid w:val="0086791E"/>
    <w:rsid w:val="00870647"/>
    <w:rsid w:val="0087182A"/>
    <w:rsid w:val="008721F4"/>
    <w:rsid w:val="008728E3"/>
    <w:rsid w:val="008749BD"/>
    <w:rsid w:val="008750D1"/>
    <w:rsid w:val="008756A8"/>
    <w:rsid w:val="00877EEE"/>
    <w:rsid w:val="00880512"/>
    <w:rsid w:val="00882CCB"/>
    <w:rsid w:val="00885A2C"/>
    <w:rsid w:val="00890627"/>
    <w:rsid w:val="00891C8E"/>
    <w:rsid w:val="00892BC7"/>
    <w:rsid w:val="00894CDC"/>
    <w:rsid w:val="008961F0"/>
    <w:rsid w:val="008A09DE"/>
    <w:rsid w:val="008B1E94"/>
    <w:rsid w:val="008B4BCA"/>
    <w:rsid w:val="008B4CE8"/>
    <w:rsid w:val="008B6143"/>
    <w:rsid w:val="008C26C5"/>
    <w:rsid w:val="008C2853"/>
    <w:rsid w:val="008C2B37"/>
    <w:rsid w:val="008C476B"/>
    <w:rsid w:val="008C5347"/>
    <w:rsid w:val="008C548A"/>
    <w:rsid w:val="008C5521"/>
    <w:rsid w:val="008C7F7C"/>
    <w:rsid w:val="008D0911"/>
    <w:rsid w:val="008D2721"/>
    <w:rsid w:val="008D4121"/>
    <w:rsid w:val="008D6462"/>
    <w:rsid w:val="008D77E6"/>
    <w:rsid w:val="008E04D0"/>
    <w:rsid w:val="008E23B5"/>
    <w:rsid w:val="008E2951"/>
    <w:rsid w:val="008E3600"/>
    <w:rsid w:val="008E372E"/>
    <w:rsid w:val="008F3404"/>
    <w:rsid w:val="008F7071"/>
    <w:rsid w:val="00903060"/>
    <w:rsid w:val="009031D3"/>
    <w:rsid w:val="00904F16"/>
    <w:rsid w:val="009110E3"/>
    <w:rsid w:val="009146DC"/>
    <w:rsid w:val="00915E5E"/>
    <w:rsid w:val="00916879"/>
    <w:rsid w:val="00916CF6"/>
    <w:rsid w:val="0092190C"/>
    <w:rsid w:val="0092193E"/>
    <w:rsid w:val="009227D1"/>
    <w:rsid w:val="009249B1"/>
    <w:rsid w:val="009265F4"/>
    <w:rsid w:val="009305BA"/>
    <w:rsid w:val="00931A04"/>
    <w:rsid w:val="009348CC"/>
    <w:rsid w:val="009362D5"/>
    <w:rsid w:val="009370D8"/>
    <w:rsid w:val="009375CA"/>
    <w:rsid w:val="00937A72"/>
    <w:rsid w:val="00941D6C"/>
    <w:rsid w:val="00942C9E"/>
    <w:rsid w:val="009433C4"/>
    <w:rsid w:val="00943D04"/>
    <w:rsid w:val="0094531E"/>
    <w:rsid w:val="0094587C"/>
    <w:rsid w:val="0094685E"/>
    <w:rsid w:val="0094696F"/>
    <w:rsid w:val="0095530B"/>
    <w:rsid w:val="009557FD"/>
    <w:rsid w:val="00961DB6"/>
    <w:rsid w:val="00962A6A"/>
    <w:rsid w:val="00964A90"/>
    <w:rsid w:val="00966002"/>
    <w:rsid w:val="00966B06"/>
    <w:rsid w:val="00970428"/>
    <w:rsid w:val="0097045C"/>
    <w:rsid w:val="00971F5F"/>
    <w:rsid w:val="00975768"/>
    <w:rsid w:val="0097696F"/>
    <w:rsid w:val="0097706B"/>
    <w:rsid w:val="00977D83"/>
    <w:rsid w:val="00980A45"/>
    <w:rsid w:val="009813E7"/>
    <w:rsid w:val="00981B2F"/>
    <w:rsid w:val="00982EAD"/>
    <w:rsid w:val="009903EA"/>
    <w:rsid w:val="00991666"/>
    <w:rsid w:val="00991737"/>
    <w:rsid w:val="00993012"/>
    <w:rsid w:val="00993137"/>
    <w:rsid w:val="009938C3"/>
    <w:rsid w:val="0099421F"/>
    <w:rsid w:val="00994E0B"/>
    <w:rsid w:val="00995642"/>
    <w:rsid w:val="009957DB"/>
    <w:rsid w:val="009A3AFE"/>
    <w:rsid w:val="009A5739"/>
    <w:rsid w:val="009A7289"/>
    <w:rsid w:val="009A7ED6"/>
    <w:rsid w:val="009B0A8F"/>
    <w:rsid w:val="009B18D6"/>
    <w:rsid w:val="009B2231"/>
    <w:rsid w:val="009B6665"/>
    <w:rsid w:val="009C0B1D"/>
    <w:rsid w:val="009C0CA5"/>
    <w:rsid w:val="009C1D3E"/>
    <w:rsid w:val="009C4753"/>
    <w:rsid w:val="009C57E7"/>
    <w:rsid w:val="009C60E2"/>
    <w:rsid w:val="009C620A"/>
    <w:rsid w:val="009C6DC3"/>
    <w:rsid w:val="009D1674"/>
    <w:rsid w:val="009D1ADE"/>
    <w:rsid w:val="009D1E6A"/>
    <w:rsid w:val="009D20F9"/>
    <w:rsid w:val="009D3902"/>
    <w:rsid w:val="009D4057"/>
    <w:rsid w:val="009D5114"/>
    <w:rsid w:val="009D5C04"/>
    <w:rsid w:val="009D6290"/>
    <w:rsid w:val="009D7CEE"/>
    <w:rsid w:val="009E32E5"/>
    <w:rsid w:val="009E46DE"/>
    <w:rsid w:val="009E5F91"/>
    <w:rsid w:val="009E7E5F"/>
    <w:rsid w:val="009F0AE7"/>
    <w:rsid w:val="009F17D2"/>
    <w:rsid w:val="009F30A5"/>
    <w:rsid w:val="009F5AEB"/>
    <w:rsid w:val="009F6A88"/>
    <w:rsid w:val="009F7492"/>
    <w:rsid w:val="00A01130"/>
    <w:rsid w:val="00A0182E"/>
    <w:rsid w:val="00A03122"/>
    <w:rsid w:val="00A10E08"/>
    <w:rsid w:val="00A119F2"/>
    <w:rsid w:val="00A160AA"/>
    <w:rsid w:val="00A17C34"/>
    <w:rsid w:val="00A222AD"/>
    <w:rsid w:val="00A2241E"/>
    <w:rsid w:val="00A22DA9"/>
    <w:rsid w:val="00A23C1D"/>
    <w:rsid w:val="00A25616"/>
    <w:rsid w:val="00A2629C"/>
    <w:rsid w:val="00A304B5"/>
    <w:rsid w:val="00A308D4"/>
    <w:rsid w:val="00A30A4F"/>
    <w:rsid w:val="00A31BB1"/>
    <w:rsid w:val="00A320D0"/>
    <w:rsid w:val="00A32188"/>
    <w:rsid w:val="00A34ABB"/>
    <w:rsid w:val="00A402A4"/>
    <w:rsid w:val="00A404C2"/>
    <w:rsid w:val="00A460F1"/>
    <w:rsid w:val="00A46A68"/>
    <w:rsid w:val="00A51A3F"/>
    <w:rsid w:val="00A540B6"/>
    <w:rsid w:val="00A57A9C"/>
    <w:rsid w:val="00A60D6B"/>
    <w:rsid w:val="00A63817"/>
    <w:rsid w:val="00A651D4"/>
    <w:rsid w:val="00A6540B"/>
    <w:rsid w:val="00A66263"/>
    <w:rsid w:val="00A66CB1"/>
    <w:rsid w:val="00A67129"/>
    <w:rsid w:val="00A729A0"/>
    <w:rsid w:val="00A753A0"/>
    <w:rsid w:val="00A769AB"/>
    <w:rsid w:val="00A769C6"/>
    <w:rsid w:val="00A776CC"/>
    <w:rsid w:val="00A82C99"/>
    <w:rsid w:val="00A86876"/>
    <w:rsid w:val="00A87FCD"/>
    <w:rsid w:val="00A903C5"/>
    <w:rsid w:val="00A92013"/>
    <w:rsid w:val="00A92228"/>
    <w:rsid w:val="00A92CE3"/>
    <w:rsid w:val="00A93CCC"/>
    <w:rsid w:val="00A96352"/>
    <w:rsid w:val="00AA376E"/>
    <w:rsid w:val="00AA426F"/>
    <w:rsid w:val="00AA7898"/>
    <w:rsid w:val="00AB37CC"/>
    <w:rsid w:val="00AB37ED"/>
    <w:rsid w:val="00AB3A77"/>
    <w:rsid w:val="00AC0167"/>
    <w:rsid w:val="00AC0D73"/>
    <w:rsid w:val="00AC2771"/>
    <w:rsid w:val="00AC3438"/>
    <w:rsid w:val="00AC3D87"/>
    <w:rsid w:val="00AC7C3D"/>
    <w:rsid w:val="00AC7F1B"/>
    <w:rsid w:val="00AD01D3"/>
    <w:rsid w:val="00AD23B9"/>
    <w:rsid w:val="00AD48F2"/>
    <w:rsid w:val="00AD79A4"/>
    <w:rsid w:val="00AE1C1A"/>
    <w:rsid w:val="00AE2099"/>
    <w:rsid w:val="00AE240A"/>
    <w:rsid w:val="00AE3E1D"/>
    <w:rsid w:val="00AF0832"/>
    <w:rsid w:val="00AF1C9C"/>
    <w:rsid w:val="00AF27F5"/>
    <w:rsid w:val="00B01FDC"/>
    <w:rsid w:val="00B0246D"/>
    <w:rsid w:val="00B0303C"/>
    <w:rsid w:val="00B07458"/>
    <w:rsid w:val="00B11D88"/>
    <w:rsid w:val="00B171DE"/>
    <w:rsid w:val="00B17B6C"/>
    <w:rsid w:val="00B22B38"/>
    <w:rsid w:val="00B22CF9"/>
    <w:rsid w:val="00B24E66"/>
    <w:rsid w:val="00B27EF4"/>
    <w:rsid w:val="00B304DD"/>
    <w:rsid w:val="00B30680"/>
    <w:rsid w:val="00B31454"/>
    <w:rsid w:val="00B32597"/>
    <w:rsid w:val="00B32996"/>
    <w:rsid w:val="00B35CF7"/>
    <w:rsid w:val="00B41E19"/>
    <w:rsid w:val="00B45DC4"/>
    <w:rsid w:val="00B51B16"/>
    <w:rsid w:val="00B521D4"/>
    <w:rsid w:val="00B52372"/>
    <w:rsid w:val="00B54720"/>
    <w:rsid w:val="00B54AFB"/>
    <w:rsid w:val="00B55CB6"/>
    <w:rsid w:val="00B55CED"/>
    <w:rsid w:val="00B5731E"/>
    <w:rsid w:val="00B62D00"/>
    <w:rsid w:val="00B62DC1"/>
    <w:rsid w:val="00B709BC"/>
    <w:rsid w:val="00B7381F"/>
    <w:rsid w:val="00B75A56"/>
    <w:rsid w:val="00B77868"/>
    <w:rsid w:val="00B803F1"/>
    <w:rsid w:val="00B8085C"/>
    <w:rsid w:val="00B83944"/>
    <w:rsid w:val="00B84296"/>
    <w:rsid w:val="00B86DAF"/>
    <w:rsid w:val="00B905AE"/>
    <w:rsid w:val="00B909CE"/>
    <w:rsid w:val="00B932F0"/>
    <w:rsid w:val="00B94849"/>
    <w:rsid w:val="00B97BB1"/>
    <w:rsid w:val="00BA02D9"/>
    <w:rsid w:val="00BA1A71"/>
    <w:rsid w:val="00BA1C2E"/>
    <w:rsid w:val="00BA2125"/>
    <w:rsid w:val="00BA557E"/>
    <w:rsid w:val="00BA5F1E"/>
    <w:rsid w:val="00BA6978"/>
    <w:rsid w:val="00BA7AFA"/>
    <w:rsid w:val="00BB10F6"/>
    <w:rsid w:val="00BB32B6"/>
    <w:rsid w:val="00BB3305"/>
    <w:rsid w:val="00BB33FF"/>
    <w:rsid w:val="00BB50D8"/>
    <w:rsid w:val="00BB5362"/>
    <w:rsid w:val="00BB5654"/>
    <w:rsid w:val="00BB6833"/>
    <w:rsid w:val="00BC15BC"/>
    <w:rsid w:val="00BC2BF0"/>
    <w:rsid w:val="00BC5EB7"/>
    <w:rsid w:val="00BD2A79"/>
    <w:rsid w:val="00BD60F5"/>
    <w:rsid w:val="00BE0128"/>
    <w:rsid w:val="00BE09D5"/>
    <w:rsid w:val="00BE3B8D"/>
    <w:rsid w:val="00BE572F"/>
    <w:rsid w:val="00BF0517"/>
    <w:rsid w:val="00BF1C3D"/>
    <w:rsid w:val="00BF3898"/>
    <w:rsid w:val="00BF4895"/>
    <w:rsid w:val="00BF6F16"/>
    <w:rsid w:val="00C01FE3"/>
    <w:rsid w:val="00C03236"/>
    <w:rsid w:val="00C034E4"/>
    <w:rsid w:val="00C03723"/>
    <w:rsid w:val="00C03F8F"/>
    <w:rsid w:val="00C04A05"/>
    <w:rsid w:val="00C06F86"/>
    <w:rsid w:val="00C076D0"/>
    <w:rsid w:val="00C10AB8"/>
    <w:rsid w:val="00C10B84"/>
    <w:rsid w:val="00C12054"/>
    <w:rsid w:val="00C14EF9"/>
    <w:rsid w:val="00C15BE6"/>
    <w:rsid w:val="00C164EE"/>
    <w:rsid w:val="00C238B4"/>
    <w:rsid w:val="00C23D77"/>
    <w:rsid w:val="00C266D6"/>
    <w:rsid w:val="00C2774F"/>
    <w:rsid w:val="00C30168"/>
    <w:rsid w:val="00C31B00"/>
    <w:rsid w:val="00C31F4B"/>
    <w:rsid w:val="00C333F3"/>
    <w:rsid w:val="00C33536"/>
    <w:rsid w:val="00C35C4B"/>
    <w:rsid w:val="00C5472F"/>
    <w:rsid w:val="00C5530A"/>
    <w:rsid w:val="00C57287"/>
    <w:rsid w:val="00C61922"/>
    <w:rsid w:val="00C626E4"/>
    <w:rsid w:val="00C67C81"/>
    <w:rsid w:val="00C70B65"/>
    <w:rsid w:val="00C731AF"/>
    <w:rsid w:val="00C81740"/>
    <w:rsid w:val="00C853B0"/>
    <w:rsid w:val="00C85DE0"/>
    <w:rsid w:val="00C87D40"/>
    <w:rsid w:val="00C92378"/>
    <w:rsid w:val="00C9352E"/>
    <w:rsid w:val="00C943E4"/>
    <w:rsid w:val="00C95E23"/>
    <w:rsid w:val="00C95EBE"/>
    <w:rsid w:val="00CA2B04"/>
    <w:rsid w:val="00CA5A9E"/>
    <w:rsid w:val="00CB2572"/>
    <w:rsid w:val="00CC0C5E"/>
    <w:rsid w:val="00CC104E"/>
    <w:rsid w:val="00CC634B"/>
    <w:rsid w:val="00CC667D"/>
    <w:rsid w:val="00CC6941"/>
    <w:rsid w:val="00CC710D"/>
    <w:rsid w:val="00CC7CE0"/>
    <w:rsid w:val="00CD02B6"/>
    <w:rsid w:val="00CD337F"/>
    <w:rsid w:val="00CD619D"/>
    <w:rsid w:val="00CD6BA8"/>
    <w:rsid w:val="00CE05B4"/>
    <w:rsid w:val="00CE1C22"/>
    <w:rsid w:val="00CE3927"/>
    <w:rsid w:val="00CE501C"/>
    <w:rsid w:val="00CE5A0E"/>
    <w:rsid w:val="00CE6AE5"/>
    <w:rsid w:val="00CE76D0"/>
    <w:rsid w:val="00CF0DB4"/>
    <w:rsid w:val="00CF19B0"/>
    <w:rsid w:val="00CF218A"/>
    <w:rsid w:val="00CF2AF7"/>
    <w:rsid w:val="00CF2F84"/>
    <w:rsid w:val="00CF3383"/>
    <w:rsid w:val="00CF42AA"/>
    <w:rsid w:val="00CF6709"/>
    <w:rsid w:val="00D0150B"/>
    <w:rsid w:val="00D04A3F"/>
    <w:rsid w:val="00D0793A"/>
    <w:rsid w:val="00D105A6"/>
    <w:rsid w:val="00D10CFA"/>
    <w:rsid w:val="00D11EBE"/>
    <w:rsid w:val="00D12D02"/>
    <w:rsid w:val="00D12D07"/>
    <w:rsid w:val="00D14D29"/>
    <w:rsid w:val="00D15914"/>
    <w:rsid w:val="00D15F4B"/>
    <w:rsid w:val="00D20A46"/>
    <w:rsid w:val="00D20F06"/>
    <w:rsid w:val="00D215B2"/>
    <w:rsid w:val="00D23EDB"/>
    <w:rsid w:val="00D24F0D"/>
    <w:rsid w:val="00D25355"/>
    <w:rsid w:val="00D2572B"/>
    <w:rsid w:val="00D25833"/>
    <w:rsid w:val="00D30C82"/>
    <w:rsid w:val="00D319B8"/>
    <w:rsid w:val="00D33280"/>
    <w:rsid w:val="00D333D0"/>
    <w:rsid w:val="00D3401D"/>
    <w:rsid w:val="00D353A6"/>
    <w:rsid w:val="00D42C87"/>
    <w:rsid w:val="00D446ED"/>
    <w:rsid w:val="00D45017"/>
    <w:rsid w:val="00D4693B"/>
    <w:rsid w:val="00D46D5E"/>
    <w:rsid w:val="00D5135E"/>
    <w:rsid w:val="00D5434C"/>
    <w:rsid w:val="00D57C42"/>
    <w:rsid w:val="00D6131A"/>
    <w:rsid w:val="00D63A5F"/>
    <w:rsid w:val="00D642D5"/>
    <w:rsid w:val="00D64782"/>
    <w:rsid w:val="00D6778E"/>
    <w:rsid w:val="00D71797"/>
    <w:rsid w:val="00D740D4"/>
    <w:rsid w:val="00D74892"/>
    <w:rsid w:val="00D7739F"/>
    <w:rsid w:val="00D825A1"/>
    <w:rsid w:val="00D82FD1"/>
    <w:rsid w:val="00D93834"/>
    <w:rsid w:val="00D93C55"/>
    <w:rsid w:val="00D9414D"/>
    <w:rsid w:val="00DA4331"/>
    <w:rsid w:val="00DA5FE8"/>
    <w:rsid w:val="00DB35E2"/>
    <w:rsid w:val="00DB76A7"/>
    <w:rsid w:val="00DC0610"/>
    <w:rsid w:val="00DC2FDA"/>
    <w:rsid w:val="00DC37F3"/>
    <w:rsid w:val="00DC4092"/>
    <w:rsid w:val="00DC433C"/>
    <w:rsid w:val="00DC4872"/>
    <w:rsid w:val="00DC4C87"/>
    <w:rsid w:val="00DD47FB"/>
    <w:rsid w:val="00DD63A7"/>
    <w:rsid w:val="00DE094A"/>
    <w:rsid w:val="00DE14C9"/>
    <w:rsid w:val="00DE1D54"/>
    <w:rsid w:val="00DE3B06"/>
    <w:rsid w:val="00DE5F87"/>
    <w:rsid w:val="00DE7F05"/>
    <w:rsid w:val="00DF2364"/>
    <w:rsid w:val="00DF2983"/>
    <w:rsid w:val="00DF4619"/>
    <w:rsid w:val="00E01BA2"/>
    <w:rsid w:val="00E05C4F"/>
    <w:rsid w:val="00E06FC6"/>
    <w:rsid w:val="00E070AC"/>
    <w:rsid w:val="00E0775C"/>
    <w:rsid w:val="00E1001E"/>
    <w:rsid w:val="00E15212"/>
    <w:rsid w:val="00E1608F"/>
    <w:rsid w:val="00E1773C"/>
    <w:rsid w:val="00E17E96"/>
    <w:rsid w:val="00E20283"/>
    <w:rsid w:val="00E207E4"/>
    <w:rsid w:val="00E23284"/>
    <w:rsid w:val="00E235A4"/>
    <w:rsid w:val="00E25175"/>
    <w:rsid w:val="00E263F3"/>
    <w:rsid w:val="00E330E4"/>
    <w:rsid w:val="00E35447"/>
    <w:rsid w:val="00E36B18"/>
    <w:rsid w:val="00E37EB1"/>
    <w:rsid w:val="00E41639"/>
    <w:rsid w:val="00E41697"/>
    <w:rsid w:val="00E43033"/>
    <w:rsid w:val="00E43EE2"/>
    <w:rsid w:val="00E535C2"/>
    <w:rsid w:val="00E568EE"/>
    <w:rsid w:val="00E56B18"/>
    <w:rsid w:val="00E56E3C"/>
    <w:rsid w:val="00E577AF"/>
    <w:rsid w:val="00E607E1"/>
    <w:rsid w:val="00E614D1"/>
    <w:rsid w:val="00E622A6"/>
    <w:rsid w:val="00E64284"/>
    <w:rsid w:val="00E6429D"/>
    <w:rsid w:val="00E708C8"/>
    <w:rsid w:val="00E726BC"/>
    <w:rsid w:val="00E72BEF"/>
    <w:rsid w:val="00E738E7"/>
    <w:rsid w:val="00E74EE8"/>
    <w:rsid w:val="00E80588"/>
    <w:rsid w:val="00E836CC"/>
    <w:rsid w:val="00E851AA"/>
    <w:rsid w:val="00E87937"/>
    <w:rsid w:val="00E900A2"/>
    <w:rsid w:val="00E90E52"/>
    <w:rsid w:val="00E9184E"/>
    <w:rsid w:val="00EA08C0"/>
    <w:rsid w:val="00EA13DC"/>
    <w:rsid w:val="00EA2CEA"/>
    <w:rsid w:val="00EA537F"/>
    <w:rsid w:val="00EA5560"/>
    <w:rsid w:val="00EA6856"/>
    <w:rsid w:val="00EB20EB"/>
    <w:rsid w:val="00EB333A"/>
    <w:rsid w:val="00EB4139"/>
    <w:rsid w:val="00EB417A"/>
    <w:rsid w:val="00EB4217"/>
    <w:rsid w:val="00EB4EA5"/>
    <w:rsid w:val="00EB5318"/>
    <w:rsid w:val="00EB6A5D"/>
    <w:rsid w:val="00EB7754"/>
    <w:rsid w:val="00EB78DA"/>
    <w:rsid w:val="00EB7969"/>
    <w:rsid w:val="00EC013C"/>
    <w:rsid w:val="00EC1420"/>
    <w:rsid w:val="00EC27AF"/>
    <w:rsid w:val="00ED1292"/>
    <w:rsid w:val="00ED1C28"/>
    <w:rsid w:val="00ED288F"/>
    <w:rsid w:val="00ED4CC5"/>
    <w:rsid w:val="00ED66F7"/>
    <w:rsid w:val="00EE11FC"/>
    <w:rsid w:val="00EE5501"/>
    <w:rsid w:val="00EE65ED"/>
    <w:rsid w:val="00EE6828"/>
    <w:rsid w:val="00EE6902"/>
    <w:rsid w:val="00EE7662"/>
    <w:rsid w:val="00EF521D"/>
    <w:rsid w:val="00F01E3C"/>
    <w:rsid w:val="00F04100"/>
    <w:rsid w:val="00F052A6"/>
    <w:rsid w:val="00F052C0"/>
    <w:rsid w:val="00F1335B"/>
    <w:rsid w:val="00F13818"/>
    <w:rsid w:val="00F1552D"/>
    <w:rsid w:val="00F1557B"/>
    <w:rsid w:val="00F1657E"/>
    <w:rsid w:val="00F16A78"/>
    <w:rsid w:val="00F22539"/>
    <w:rsid w:val="00F22D07"/>
    <w:rsid w:val="00F265E6"/>
    <w:rsid w:val="00F27CEF"/>
    <w:rsid w:val="00F31EB6"/>
    <w:rsid w:val="00F332F8"/>
    <w:rsid w:val="00F37353"/>
    <w:rsid w:val="00F411BF"/>
    <w:rsid w:val="00F41861"/>
    <w:rsid w:val="00F42FC8"/>
    <w:rsid w:val="00F4463C"/>
    <w:rsid w:val="00F4603E"/>
    <w:rsid w:val="00F460F0"/>
    <w:rsid w:val="00F50116"/>
    <w:rsid w:val="00F524EB"/>
    <w:rsid w:val="00F52531"/>
    <w:rsid w:val="00F533C3"/>
    <w:rsid w:val="00F55256"/>
    <w:rsid w:val="00F56173"/>
    <w:rsid w:val="00F570B3"/>
    <w:rsid w:val="00F6068A"/>
    <w:rsid w:val="00F6079E"/>
    <w:rsid w:val="00F61E3B"/>
    <w:rsid w:val="00F6462C"/>
    <w:rsid w:val="00F66AF6"/>
    <w:rsid w:val="00F678C9"/>
    <w:rsid w:val="00F728F2"/>
    <w:rsid w:val="00F728FC"/>
    <w:rsid w:val="00F804AD"/>
    <w:rsid w:val="00F81C63"/>
    <w:rsid w:val="00F8253D"/>
    <w:rsid w:val="00F842A7"/>
    <w:rsid w:val="00F84C4E"/>
    <w:rsid w:val="00F855A7"/>
    <w:rsid w:val="00F878CF"/>
    <w:rsid w:val="00F917D1"/>
    <w:rsid w:val="00F92A9A"/>
    <w:rsid w:val="00F92C0A"/>
    <w:rsid w:val="00F942C0"/>
    <w:rsid w:val="00F97749"/>
    <w:rsid w:val="00F97795"/>
    <w:rsid w:val="00FA2893"/>
    <w:rsid w:val="00FA381E"/>
    <w:rsid w:val="00FA5083"/>
    <w:rsid w:val="00FA60AB"/>
    <w:rsid w:val="00FB029E"/>
    <w:rsid w:val="00FB0AF6"/>
    <w:rsid w:val="00FB0AFF"/>
    <w:rsid w:val="00FB1243"/>
    <w:rsid w:val="00FB16F3"/>
    <w:rsid w:val="00FB237F"/>
    <w:rsid w:val="00FB2C67"/>
    <w:rsid w:val="00FB35EF"/>
    <w:rsid w:val="00FB7424"/>
    <w:rsid w:val="00FB7DE2"/>
    <w:rsid w:val="00FC18CC"/>
    <w:rsid w:val="00FC2CFF"/>
    <w:rsid w:val="00FC54B3"/>
    <w:rsid w:val="00FC5850"/>
    <w:rsid w:val="00FC5EDB"/>
    <w:rsid w:val="00FD03C0"/>
    <w:rsid w:val="00FD3A07"/>
    <w:rsid w:val="00FD4284"/>
    <w:rsid w:val="00FD47B4"/>
    <w:rsid w:val="00FD67B9"/>
    <w:rsid w:val="00FE7102"/>
    <w:rsid w:val="00FF329A"/>
    <w:rsid w:val="00FF4C23"/>
    <w:rsid w:val="00FF5267"/>
    <w:rsid w:val="00FF796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ockticker"/>
  <w:shapeDefaults>
    <o:shapedefaults v:ext="edit" spidmax="24577">
      <o:colormru v:ext="edit" colors="#ddd,green"/>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475"/>
    <w:rPr>
      <w:rFonts w:ascii="Arial" w:hAnsi="Arial"/>
      <w:sz w:val="24"/>
    </w:rPr>
  </w:style>
  <w:style w:type="paragraph" w:styleId="Heading1">
    <w:name w:val="heading 1"/>
    <w:basedOn w:val="Normal"/>
    <w:next w:val="Normal"/>
    <w:qFormat/>
    <w:rsid w:val="00FB2C67"/>
    <w:pPr>
      <w:keepNext/>
      <w:spacing w:before="240" w:after="60"/>
      <w:outlineLvl w:val="0"/>
    </w:pPr>
    <w:rPr>
      <w:b/>
      <w:kern w:val="28"/>
      <w:sz w:val="28"/>
    </w:rPr>
  </w:style>
  <w:style w:type="paragraph" w:styleId="Heading2">
    <w:name w:val="heading 2"/>
    <w:basedOn w:val="Normal"/>
    <w:next w:val="Normal"/>
    <w:qFormat/>
    <w:rsid w:val="00FB2C67"/>
    <w:pPr>
      <w:keepNext/>
      <w:shd w:val="pct10" w:color="auto" w:fill="auto"/>
      <w:ind w:left="2880" w:right="2340"/>
      <w:jc w:val="center"/>
      <w:outlineLvl w:val="1"/>
    </w:pPr>
    <w:rPr>
      <w:b/>
      <w:u w:val="single"/>
    </w:rPr>
  </w:style>
  <w:style w:type="paragraph" w:styleId="Heading3">
    <w:name w:val="heading 3"/>
    <w:basedOn w:val="Normal"/>
    <w:next w:val="Normal"/>
    <w:qFormat/>
    <w:rsid w:val="00FB2C67"/>
    <w:pPr>
      <w:keepNext/>
      <w:outlineLvl w:val="2"/>
    </w:pPr>
    <w:rPr>
      <w:b/>
      <w:i/>
      <w:snapToGrid w:val="0"/>
      <w:sz w:val="28"/>
      <w:u w:val="single"/>
      <w:lang w:eastAsia="en-US"/>
    </w:rPr>
  </w:style>
  <w:style w:type="paragraph" w:styleId="Heading4">
    <w:name w:val="heading 4"/>
    <w:basedOn w:val="Normal"/>
    <w:next w:val="Normal"/>
    <w:qFormat/>
    <w:rsid w:val="00FB2C67"/>
    <w:pPr>
      <w:keepNext/>
      <w:outlineLvl w:val="3"/>
    </w:pPr>
    <w:rPr>
      <w:b/>
      <w:snapToGrid w:val="0"/>
      <w:u w:val="single"/>
      <w:lang w:eastAsia="en-US"/>
    </w:rPr>
  </w:style>
  <w:style w:type="paragraph" w:styleId="Heading5">
    <w:name w:val="heading 5"/>
    <w:basedOn w:val="Normal"/>
    <w:next w:val="Normal"/>
    <w:qFormat/>
    <w:rsid w:val="00FB2C67"/>
    <w:pPr>
      <w:keepNext/>
      <w:outlineLvl w:val="4"/>
    </w:pPr>
    <w:rPr>
      <w:rFonts w:ascii="Univers" w:hAnsi="Univers"/>
      <w:b/>
      <w:u w:val="single"/>
    </w:rPr>
  </w:style>
  <w:style w:type="paragraph" w:styleId="Heading6">
    <w:name w:val="heading 6"/>
    <w:basedOn w:val="Normal"/>
    <w:next w:val="Normal"/>
    <w:qFormat/>
    <w:rsid w:val="00FB2C67"/>
    <w:pPr>
      <w:keepNext/>
      <w:shd w:val="pct10" w:color="auto" w:fill="auto"/>
      <w:spacing w:line="360" w:lineRule="auto"/>
      <w:ind w:left="2340" w:right="1620"/>
      <w:jc w:val="center"/>
      <w:outlineLvl w:val="5"/>
    </w:pPr>
    <w:rPr>
      <w:b/>
    </w:rPr>
  </w:style>
  <w:style w:type="paragraph" w:styleId="Heading7">
    <w:name w:val="heading 7"/>
    <w:basedOn w:val="Normal"/>
    <w:next w:val="Normal"/>
    <w:qFormat/>
    <w:rsid w:val="00FB2C67"/>
    <w:pPr>
      <w:keepNext/>
      <w:jc w:val="center"/>
      <w:outlineLvl w:val="6"/>
    </w:pPr>
    <w:rPr>
      <w:b/>
    </w:rPr>
  </w:style>
  <w:style w:type="paragraph" w:styleId="Heading8">
    <w:name w:val="heading 8"/>
    <w:basedOn w:val="Normal"/>
    <w:next w:val="Normal"/>
    <w:link w:val="Heading8Char"/>
    <w:qFormat/>
    <w:rsid w:val="00FB2C67"/>
    <w:pPr>
      <w:keepNext/>
      <w:outlineLvl w:val="7"/>
    </w:pPr>
    <w:rPr>
      <w:b/>
      <w:snapToGrid w:val="0"/>
      <w:lang w:eastAsia="en-US"/>
    </w:rPr>
  </w:style>
  <w:style w:type="paragraph" w:styleId="Heading9">
    <w:name w:val="heading 9"/>
    <w:basedOn w:val="Normal"/>
    <w:next w:val="Normal"/>
    <w:qFormat/>
    <w:rsid w:val="00FB2C67"/>
    <w:pPr>
      <w:keepNext/>
      <w:tabs>
        <w:tab w:val="left" w:pos="4788"/>
        <w:tab w:val="left" w:pos="9576"/>
      </w:tabs>
      <w:spacing w:line="360" w:lineRule="auto"/>
      <w:outlineLvl w:val="8"/>
    </w:pPr>
    <w:rPr>
      <w:b/>
      <w:i/>
      <w:snapToGrid w:val="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CA5A9E"/>
    <w:rPr>
      <w:rFonts w:ascii="Arial" w:hAnsi="Arial"/>
      <w:b/>
      <w:snapToGrid w:val="0"/>
      <w:sz w:val="24"/>
      <w:lang w:eastAsia="en-US"/>
    </w:rPr>
  </w:style>
  <w:style w:type="paragraph" w:styleId="Header">
    <w:name w:val="header"/>
    <w:basedOn w:val="Normal"/>
    <w:link w:val="HeaderChar"/>
    <w:rsid w:val="00FB2C67"/>
  </w:style>
  <w:style w:type="character" w:customStyle="1" w:styleId="HeaderChar">
    <w:name w:val="Header Char"/>
    <w:basedOn w:val="DefaultParagraphFont"/>
    <w:link w:val="Header"/>
    <w:rsid w:val="00D3401D"/>
    <w:rPr>
      <w:rFonts w:ascii="Arial" w:hAnsi="Arial"/>
      <w:sz w:val="24"/>
    </w:rPr>
  </w:style>
  <w:style w:type="paragraph" w:styleId="BlockText">
    <w:name w:val="Block Text"/>
    <w:basedOn w:val="Normal"/>
    <w:rsid w:val="00FB2C67"/>
    <w:pPr>
      <w:shd w:val="pct10" w:color="auto" w:fill="auto"/>
      <w:ind w:left="2880" w:right="3123"/>
    </w:pPr>
  </w:style>
  <w:style w:type="paragraph" w:styleId="BodyTextIndent3">
    <w:name w:val="Body Text Indent 3"/>
    <w:basedOn w:val="Normal"/>
    <w:link w:val="BodyTextIndent3Char"/>
    <w:rsid w:val="00FB2C67"/>
    <w:pPr>
      <w:tabs>
        <w:tab w:val="left" w:pos="360"/>
      </w:tabs>
      <w:ind w:left="360"/>
    </w:pPr>
  </w:style>
  <w:style w:type="paragraph" w:styleId="BodyText3">
    <w:name w:val="Body Text 3"/>
    <w:basedOn w:val="Normal"/>
    <w:rsid w:val="00FB2C67"/>
    <w:pPr>
      <w:outlineLvl w:val="0"/>
    </w:pPr>
    <w:rPr>
      <w:rFonts w:ascii="Times New Roman" w:hAnsi="Times New Roman"/>
      <w:color w:val="000000"/>
    </w:rPr>
  </w:style>
  <w:style w:type="paragraph" w:styleId="Footer">
    <w:name w:val="footer"/>
    <w:basedOn w:val="Normal"/>
    <w:link w:val="FooterChar"/>
    <w:uiPriority w:val="99"/>
    <w:rsid w:val="00FB2C67"/>
    <w:pPr>
      <w:tabs>
        <w:tab w:val="center" w:pos="4153"/>
        <w:tab w:val="right" w:pos="8306"/>
      </w:tabs>
    </w:pPr>
  </w:style>
  <w:style w:type="character" w:customStyle="1" w:styleId="FooterChar">
    <w:name w:val="Footer Char"/>
    <w:basedOn w:val="DefaultParagraphFont"/>
    <w:link w:val="Footer"/>
    <w:uiPriority w:val="99"/>
    <w:rsid w:val="00880512"/>
    <w:rPr>
      <w:rFonts w:ascii="Arial" w:hAnsi="Arial"/>
      <w:sz w:val="24"/>
    </w:rPr>
  </w:style>
  <w:style w:type="character" w:styleId="PageNumber">
    <w:name w:val="page number"/>
    <w:basedOn w:val="DefaultParagraphFont"/>
    <w:rsid w:val="00FB2C67"/>
  </w:style>
  <w:style w:type="paragraph" w:styleId="ListBullet">
    <w:name w:val="List Bullet"/>
    <w:aliases w:val=" Char"/>
    <w:basedOn w:val="Normal"/>
    <w:link w:val="ListBulletChar"/>
    <w:autoRedefine/>
    <w:rsid w:val="00FB2C67"/>
    <w:pPr>
      <w:numPr>
        <w:numId w:val="3"/>
      </w:numPr>
    </w:pPr>
  </w:style>
  <w:style w:type="character" w:customStyle="1" w:styleId="ListBulletChar">
    <w:name w:val="List Bullet Char"/>
    <w:aliases w:val=" Char Char"/>
    <w:basedOn w:val="DefaultParagraphFont"/>
    <w:link w:val="ListBullet"/>
    <w:rsid w:val="00C67C81"/>
    <w:rPr>
      <w:rFonts w:ascii="Arial" w:hAnsi="Arial"/>
      <w:sz w:val="24"/>
    </w:rPr>
  </w:style>
  <w:style w:type="character" w:styleId="Hyperlink">
    <w:name w:val="Hyperlink"/>
    <w:basedOn w:val="DefaultParagraphFont"/>
    <w:rsid w:val="00FB2C67"/>
    <w:rPr>
      <w:color w:val="0000FF"/>
      <w:u w:val="single"/>
    </w:rPr>
  </w:style>
  <w:style w:type="character" w:styleId="FollowedHyperlink">
    <w:name w:val="FollowedHyperlink"/>
    <w:basedOn w:val="DefaultParagraphFont"/>
    <w:rsid w:val="00FB2C67"/>
    <w:rPr>
      <w:color w:val="800080"/>
      <w:u w:val="single"/>
    </w:rPr>
  </w:style>
  <w:style w:type="paragraph" w:styleId="Title">
    <w:name w:val="Title"/>
    <w:basedOn w:val="Normal"/>
    <w:qFormat/>
    <w:rsid w:val="00FB2C67"/>
    <w:pPr>
      <w:jc w:val="center"/>
    </w:pPr>
    <w:rPr>
      <w:b/>
      <w:snapToGrid w:val="0"/>
      <w:sz w:val="48"/>
      <w:lang w:eastAsia="en-US"/>
    </w:rPr>
  </w:style>
  <w:style w:type="paragraph" w:styleId="BodyText">
    <w:name w:val="Body Text"/>
    <w:basedOn w:val="Normal"/>
    <w:link w:val="BodyTextChar"/>
    <w:uiPriority w:val="99"/>
    <w:rsid w:val="00FB2C67"/>
    <w:rPr>
      <w:b/>
    </w:rPr>
  </w:style>
  <w:style w:type="character" w:customStyle="1" w:styleId="BodyTextChar">
    <w:name w:val="Body Text Char"/>
    <w:basedOn w:val="DefaultParagraphFont"/>
    <w:link w:val="BodyText"/>
    <w:uiPriority w:val="99"/>
    <w:rsid w:val="00D3401D"/>
    <w:rPr>
      <w:rFonts w:ascii="Arial" w:hAnsi="Arial"/>
      <w:b/>
      <w:sz w:val="24"/>
    </w:rPr>
  </w:style>
  <w:style w:type="paragraph" w:styleId="BodyText2">
    <w:name w:val="Body Text 2"/>
    <w:basedOn w:val="Normal"/>
    <w:rsid w:val="00FB2C67"/>
    <w:pPr>
      <w:ind w:right="-180"/>
    </w:pPr>
  </w:style>
  <w:style w:type="paragraph" w:styleId="NormalWeb">
    <w:name w:val="Normal (Web)"/>
    <w:basedOn w:val="Normal"/>
    <w:uiPriority w:val="99"/>
    <w:rsid w:val="00FB2C67"/>
    <w:pPr>
      <w:spacing w:before="100" w:after="100"/>
    </w:pPr>
    <w:rPr>
      <w:rFonts w:ascii="Times New Roman" w:hAnsi="Times New Roman"/>
      <w:lang w:val="en-US"/>
    </w:rPr>
  </w:style>
  <w:style w:type="paragraph" w:styleId="BodyTextIndent">
    <w:name w:val="Body Text Indent"/>
    <w:basedOn w:val="Normal"/>
    <w:link w:val="BodyTextIndentChar"/>
    <w:rsid w:val="00FB2C67"/>
    <w:pPr>
      <w:tabs>
        <w:tab w:val="left" w:pos="1080"/>
      </w:tabs>
      <w:spacing w:after="80"/>
      <w:ind w:left="1080"/>
      <w:jc w:val="both"/>
    </w:pPr>
  </w:style>
  <w:style w:type="character" w:customStyle="1" w:styleId="BodyTextIndentChar">
    <w:name w:val="Body Text Indent Char"/>
    <w:basedOn w:val="DefaultParagraphFont"/>
    <w:link w:val="BodyTextIndent"/>
    <w:rsid w:val="000C50AF"/>
    <w:rPr>
      <w:rFonts w:ascii="Arial" w:hAnsi="Arial"/>
      <w:sz w:val="24"/>
    </w:rPr>
  </w:style>
  <w:style w:type="paragraph" w:styleId="BodyTextIndent2">
    <w:name w:val="Body Text Indent 2"/>
    <w:basedOn w:val="Normal"/>
    <w:rsid w:val="00FB2C67"/>
    <w:pPr>
      <w:spacing w:after="240"/>
      <w:ind w:left="720"/>
      <w:jc w:val="both"/>
    </w:pPr>
  </w:style>
  <w:style w:type="paragraph" w:customStyle="1" w:styleId="Bullet4">
    <w:name w:val="Bullet 4"/>
    <w:basedOn w:val="Normal"/>
    <w:uiPriority w:val="99"/>
    <w:rsid w:val="00FB2C67"/>
    <w:pPr>
      <w:numPr>
        <w:numId w:val="6"/>
      </w:numPr>
      <w:spacing w:after="240"/>
    </w:pPr>
    <w:rPr>
      <w:rFonts w:ascii="Times New Roman" w:hAnsi="Times New Roman"/>
    </w:rPr>
  </w:style>
  <w:style w:type="paragraph" w:styleId="DocumentMap">
    <w:name w:val="Document Map"/>
    <w:basedOn w:val="Normal"/>
    <w:semiHidden/>
    <w:rsid w:val="00FB2C67"/>
    <w:pPr>
      <w:shd w:val="clear" w:color="auto" w:fill="000080"/>
    </w:pPr>
    <w:rPr>
      <w:rFonts w:ascii="Tahoma" w:hAnsi="Tahoma"/>
    </w:rPr>
  </w:style>
  <w:style w:type="paragraph" w:customStyle="1" w:styleId="Default">
    <w:name w:val="Default"/>
    <w:rsid w:val="00084BC1"/>
    <w:pPr>
      <w:autoSpaceDE w:val="0"/>
      <w:autoSpaceDN w:val="0"/>
      <w:adjustRightInd w:val="0"/>
    </w:pPr>
    <w:rPr>
      <w:rFonts w:ascii="Arial" w:hAnsi="Arial" w:cs="Arial"/>
      <w:color w:val="000000"/>
      <w:sz w:val="24"/>
      <w:szCs w:val="24"/>
    </w:rPr>
  </w:style>
  <w:style w:type="paragraph" w:customStyle="1" w:styleId="arial11">
    <w:name w:val="arial11"/>
    <w:basedOn w:val="Normal"/>
    <w:rsid w:val="004038DF"/>
  </w:style>
  <w:style w:type="table" w:styleId="TableGrid">
    <w:name w:val="Table Grid"/>
    <w:basedOn w:val="TableNormal"/>
    <w:rsid w:val="00C266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E37EB1"/>
    <w:rPr>
      <w:rFonts w:ascii="Tahoma" w:hAnsi="Tahoma" w:cs="Tahoma"/>
      <w:sz w:val="16"/>
      <w:szCs w:val="16"/>
    </w:rPr>
  </w:style>
  <w:style w:type="paragraph" w:styleId="PlainText">
    <w:name w:val="Plain Text"/>
    <w:basedOn w:val="Normal"/>
    <w:rsid w:val="007B0E0F"/>
    <w:rPr>
      <w:rFonts w:ascii="Courier New" w:hAnsi="Courier New" w:cs="Courier New"/>
      <w:sz w:val="20"/>
    </w:rPr>
  </w:style>
  <w:style w:type="paragraph" w:customStyle="1" w:styleId="TableHeadingText">
    <w:name w:val="Table Heading Text"/>
    <w:basedOn w:val="Normal"/>
    <w:rsid w:val="00C67C81"/>
    <w:pPr>
      <w:spacing w:before="60" w:after="60"/>
    </w:pPr>
    <w:rPr>
      <w:rFonts w:ascii="Arial Black" w:hAnsi="Arial Black"/>
      <w:sz w:val="18"/>
      <w:lang w:eastAsia="en-US"/>
    </w:rPr>
  </w:style>
  <w:style w:type="paragraph" w:customStyle="1" w:styleId="TableText">
    <w:name w:val="Table Text"/>
    <w:basedOn w:val="Normal"/>
    <w:rsid w:val="00C67C81"/>
    <w:pPr>
      <w:spacing w:before="40" w:after="40"/>
    </w:pPr>
    <w:rPr>
      <w:rFonts w:cs="Arial"/>
      <w:sz w:val="20"/>
      <w:lang w:eastAsia="en-US"/>
    </w:rPr>
  </w:style>
  <w:style w:type="paragraph" w:customStyle="1" w:styleId="OutlineNum2">
    <w:name w:val="Outline Num 2"/>
    <w:basedOn w:val="Normal"/>
    <w:link w:val="OutlineNum2Char"/>
    <w:rsid w:val="00C67C81"/>
    <w:pPr>
      <w:numPr>
        <w:ilvl w:val="1"/>
        <w:numId w:val="7"/>
      </w:numPr>
      <w:spacing w:after="240"/>
      <w:outlineLvl w:val="1"/>
    </w:pPr>
    <w:rPr>
      <w:sz w:val="22"/>
    </w:rPr>
  </w:style>
  <w:style w:type="paragraph" w:customStyle="1" w:styleId="OutlineNum3">
    <w:name w:val="Outline Num 3"/>
    <w:basedOn w:val="Normal"/>
    <w:rsid w:val="00C67C81"/>
    <w:pPr>
      <w:numPr>
        <w:ilvl w:val="2"/>
        <w:numId w:val="7"/>
      </w:numPr>
      <w:spacing w:after="240"/>
      <w:outlineLvl w:val="2"/>
    </w:pPr>
    <w:rPr>
      <w:sz w:val="22"/>
    </w:rPr>
  </w:style>
  <w:style w:type="paragraph" w:customStyle="1" w:styleId="BulletSingle">
    <w:name w:val="Bullet Single"/>
    <w:basedOn w:val="Normal"/>
    <w:rsid w:val="00C67C81"/>
    <w:pPr>
      <w:numPr>
        <w:numId w:val="8"/>
      </w:numPr>
      <w:outlineLvl w:val="0"/>
    </w:pPr>
    <w:rPr>
      <w:sz w:val="22"/>
    </w:rPr>
  </w:style>
  <w:style w:type="paragraph" w:customStyle="1" w:styleId="BulletSingle2">
    <w:name w:val="Bullet Single 2"/>
    <w:basedOn w:val="Normal"/>
    <w:rsid w:val="00C67C81"/>
    <w:pPr>
      <w:numPr>
        <w:ilvl w:val="1"/>
        <w:numId w:val="8"/>
      </w:numPr>
      <w:outlineLvl w:val="1"/>
    </w:pPr>
    <w:rPr>
      <w:sz w:val="22"/>
    </w:rPr>
  </w:style>
  <w:style w:type="paragraph" w:customStyle="1" w:styleId="BulletSingle3">
    <w:name w:val="Bullet Single 3"/>
    <w:basedOn w:val="Normal"/>
    <w:rsid w:val="00C67C81"/>
    <w:pPr>
      <w:numPr>
        <w:ilvl w:val="2"/>
        <w:numId w:val="8"/>
      </w:numPr>
      <w:outlineLvl w:val="2"/>
    </w:pPr>
    <w:rPr>
      <w:sz w:val="22"/>
    </w:rPr>
  </w:style>
  <w:style w:type="paragraph" w:customStyle="1" w:styleId="BulletSingle4">
    <w:name w:val="Bullet Single 4"/>
    <w:basedOn w:val="BulletSingle"/>
    <w:rsid w:val="00C67C81"/>
    <w:pPr>
      <w:numPr>
        <w:ilvl w:val="3"/>
      </w:numPr>
      <w:outlineLvl w:val="3"/>
    </w:pPr>
  </w:style>
  <w:style w:type="paragraph" w:customStyle="1" w:styleId="CM33">
    <w:name w:val="CM33"/>
    <w:basedOn w:val="Default"/>
    <w:next w:val="Default"/>
    <w:rsid w:val="00085FCE"/>
    <w:pPr>
      <w:widowControl w:val="0"/>
      <w:spacing w:after="498"/>
    </w:pPr>
    <w:rPr>
      <w:rFonts w:cs="Times New Roman"/>
      <w:color w:val="auto"/>
    </w:rPr>
  </w:style>
  <w:style w:type="paragraph" w:customStyle="1" w:styleId="CM35">
    <w:name w:val="CM35"/>
    <w:basedOn w:val="Default"/>
    <w:next w:val="Default"/>
    <w:rsid w:val="00085FCE"/>
    <w:pPr>
      <w:widowControl w:val="0"/>
      <w:spacing w:after="553"/>
    </w:pPr>
    <w:rPr>
      <w:rFonts w:cs="Times New Roman"/>
      <w:color w:val="auto"/>
    </w:rPr>
  </w:style>
  <w:style w:type="paragraph" w:customStyle="1" w:styleId="CM36">
    <w:name w:val="CM36"/>
    <w:basedOn w:val="Default"/>
    <w:next w:val="Default"/>
    <w:rsid w:val="00085FCE"/>
    <w:pPr>
      <w:widowControl w:val="0"/>
      <w:spacing w:after="295"/>
    </w:pPr>
    <w:rPr>
      <w:rFonts w:cs="Times New Roman"/>
      <w:color w:val="auto"/>
    </w:rPr>
  </w:style>
  <w:style w:type="paragraph" w:customStyle="1" w:styleId="CM5">
    <w:name w:val="CM5"/>
    <w:basedOn w:val="Default"/>
    <w:next w:val="Default"/>
    <w:rsid w:val="00085FCE"/>
    <w:pPr>
      <w:widowControl w:val="0"/>
      <w:spacing w:line="320" w:lineRule="atLeast"/>
    </w:pPr>
    <w:rPr>
      <w:rFonts w:cs="Times New Roman"/>
      <w:color w:val="auto"/>
    </w:rPr>
  </w:style>
  <w:style w:type="paragraph" w:customStyle="1" w:styleId="CM37">
    <w:name w:val="CM37"/>
    <w:basedOn w:val="Default"/>
    <w:next w:val="Default"/>
    <w:rsid w:val="00085FCE"/>
    <w:pPr>
      <w:widowControl w:val="0"/>
      <w:spacing w:after="335"/>
    </w:pPr>
    <w:rPr>
      <w:rFonts w:cs="Times New Roman"/>
      <w:color w:val="auto"/>
    </w:rPr>
  </w:style>
  <w:style w:type="paragraph" w:customStyle="1" w:styleId="CM43">
    <w:name w:val="CM43"/>
    <w:basedOn w:val="Default"/>
    <w:next w:val="Default"/>
    <w:rsid w:val="00085FCE"/>
    <w:pPr>
      <w:widowControl w:val="0"/>
      <w:spacing w:after="950"/>
    </w:pPr>
    <w:rPr>
      <w:rFonts w:cs="Times New Roman"/>
      <w:color w:val="auto"/>
    </w:rPr>
  </w:style>
  <w:style w:type="paragraph" w:styleId="Revision">
    <w:name w:val="Revision"/>
    <w:hidden/>
    <w:uiPriority w:val="99"/>
    <w:semiHidden/>
    <w:rsid w:val="001749B7"/>
    <w:rPr>
      <w:rFonts w:ascii="Arial" w:hAnsi="Arial"/>
      <w:sz w:val="24"/>
    </w:rPr>
  </w:style>
  <w:style w:type="character" w:styleId="HTMLCite">
    <w:name w:val="HTML Cite"/>
    <w:basedOn w:val="DefaultParagraphFont"/>
    <w:uiPriority w:val="99"/>
    <w:semiHidden/>
    <w:unhideWhenUsed/>
    <w:rsid w:val="009D5C04"/>
    <w:rPr>
      <w:i/>
      <w:iCs/>
    </w:rPr>
  </w:style>
  <w:style w:type="paragraph" w:styleId="EndnoteText">
    <w:name w:val="endnote text"/>
    <w:basedOn w:val="Normal"/>
    <w:link w:val="EndnoteTextChar"/>
    <w:uiPriority w:val="99"/>
    <w:semiHidden/>
    <w:unhideWhenUsed/>
    <w:rsid w:val="00E622A6"/>
    <w:rPr>
      <w:sz w:val="20"/>
    </w:rPr>
  </w:style>
  <w:style w:type="character" w:customStyle="1" w:styleId="EndnoteTextChar">
    <w:name w:val="Endnote Text Char"/>
    <w:basedOn w:val="DefaultParagraphFont"/>
    <w:link w:val="EndnoteText"/>
    <w:uiPriority w:val="99"/>
    <w:semiHidden/>
    <w:rsid w:val="00E622A6"/>
    <w:rPr>
      <w:rFonts w:ascii="Arial" w:hAnsi="Arial"/>
    </w:rPr>
  </w:style>
  <w:style w:type="character" w:styleId="EndnoteReference">
    <w:name w:val="endnote reference"/>
    <w:basedOn w:val="DefaultParagraphFont"/>
    <w:uiPriority w:val="99"/>
    <w:semiHidden/>
    <w:unhideWhenUsed/>
    <w:rsid w:val="00E622A6"/>
    <w:rPr>
      <w:vertAlign w:val="superscript"/>
    </w:rPr>
  </w:style>
  <w:style w:type="paragraph" w:styleId="ListParagraph">
    <w:name w:val="List Paragraph"/>
    <w:basedOn w:val="Normal"/>
    <w:uiPriority w:val="34"/>
    <w:qFormat/>
    <w:rsid w:val="00B41E19"/>
    <w:pPr>
      <w:ind w:left="720"/>
      <w:contextualSpacing/>
    </w:pPr>
    <w:rPr>
      <w:szCs w:val="24"/>
    </w:rPr>
  </w:style>
  <w:style w:type="character" w:styleId="Strong">
    <w:name w:val="Strong"/>
    <w:basedOn w:val="DefaultParagraphFont"/>
    <w:uiPriority w:val="22"/>
    <w:qFormat/>
    <w:rsid w:val="00E56E3C"/>
    <w:rPr>
      <w:b/>
      <w:bCs/>
    </w:rPr>
  </w:style>
  <w:style w:type="paragraph" w:customStyle="1" w:styleId="SectionStart">
    <w:name w:val="Section Start"/>
    <w:basedOn w:val="Normal"/>
    <w:next w:val="Heading1"/>
    <w:rsid w:val="004126C0"/>
    <w:pPr>
      <w:pageBreakBefore/>
      <w:pBdr>
        <w:top w:val="single" w:sz="12" w:space="1" w:color="000000"/>
        <w:left w:val="single" w:sz="12" w:space="9" w:color="000000"/>
        <w:bottom w:val="single" w:sz="12" w:space="1" w:color="000000"/>
        <w:right w:val="single" w:sz="12" w:space="0" w:color="000000"/>
      </w:pBdr>
      <w:tabs>
        <w:tab w:val="left" w:pos="547"/>
        <w:tab w:val="num" w:pos="720"/>
      </w:tabs>
      <w:spacing w:before="1500" w:after="480" w:line="1820" w:lineRule="exact"/>
      <w:ind w:left="720" w:right="6840" w:hanging="720"/>
    </w:pPr>
    <w:rPr>
      <w:rFonts w:ascii="Arial Black" w:hAnsi="Arial Black"/>
      <w:noProof/>
      <w:color w:val="000000"/>
      <w:position w:val="-18"/>
      <w:sz w:val="48"/>
    </w:rPr>
  </w:style>
  <w:style w:type="character" w:customStyle="1" w:styleId="NormalSingleChar">
    <w:name w:val="Normal Single Char"/>
    <w:basedOn w:val="DefaultParagraphFont"/>
    <w:link w:val="NormalSingle"/>
    <w:rsid w:val="004126C0"/>
    <w:rPr>
      <w:rFonts w:ascii="Arial" w:hAnsi="Arial"/>
      <w:color w:val="000000"/>
      <w:sz w:val="22"/>
    </w:rPr>
  </w:style>
  <w:style w:type="paragraph" w:customStyle="1" w:styleId="NormalSingle">
    <w:name w:val="Normal Single"/>
    <w:basedOn w:val="Normal"/>
    <w:link w:val="NormalSingleChar"/>
    <w:rsid w:val="004126C0"/>
    <w:rPr>
      <w:color w:val="000000"/>
      <w:sz w:val="22"/>
    </w:rPr>
  </w:style>
  <w:style w:type="character" w:customStyle="1" w:styleId="OutlineNum2Char">
    <w:name w:val="Outline Num 2 Char"/>
    <w:basedOn w:val="DefaultParagraphFont"/>
    <w:link w:val="OutlineNum2"/>
    <w:rsid w:val="004126C0"/>
    <w:rPr>
      <w:rFonts w:ascii="Arial" w:hAnsi="Arial"/>
      <w:sz w:val="22"/>
    </w:rPr>
  </w:style>
  <w:style w:type="character" w:styleId="LineNumber">
    <w:name w:val="line number"/>
    <w:basedOn w:val="DefaultParagraphFont"/>
    <w:uiPriority w:val="99"/>
    <w:semiHidden/>
    <w:unhideWhenUsed/>
    <w:rsid w:val="00174932"/>
  </w:style>
  <w:style w:type="paragraph" w:styleId="NoSpacing">
    <w:name w:val="No Spacing"/>
    <w:link w:val="NoSpacingChar"/>
    <w:uiPriority w:val="1"/>
    <w:qFormat/>
    <w:rsid w:val="0017493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74932"/>
    <w:rPr>
      <w:rFonts w:asciiTheme="minorHAnsi" w:eastAsiaTheme="minorEastAsia" w:hAnsiTheme="minorHAnsi" w:cstheme="minorBidi"/>
      <w:sz w:val="22"/>
      <w:szCs w:val="22"/>
      <w:lang w:val="en-US" w:eastAsia="en-US"/>
    </w:rPr>
  </w:style>
  <w:style w:type="character" w:customStyle="1" w:styleId="BodyTextIndent3Char">
    <w:name w:val="Body Text Indent 3 Char"/>
    <w:basedOn w:val="DefaultParagraphFont"/>
    <w:link w:val="BodyTextIndent3"/>
    <w:uiPriority w:val="99"/>
    <w:rsid w:val="00F04100"/>
    <w:rPr>
      <w:rFonts w:ascii="Arial" w:hAnsi="Arial"/>
      <w:sz w:val="24"/>
    </w:rPr>
  </w:style>
  <w:style w:type="paragraph" w:customStyle="1" w:styleId="BaseBold">
    <w:name w:val="Base Bold"/>
    <w:next w:val="Normal"/>
    <w:rsid w:val="009A3AFE"/>
    <w:pPr>
      <w:spacing w:line="200" w:lineRule="atLeast"/>
    </w:pPr>
    <w:rPr>
      <w:rFonts w:ascii="Arial" w:hAnsi="Arial" w:cs="Arial"/>
      <w:b/>
      <w:sz w:val="16"/>
      <w:lang w:eastAsia="en-US"/>
    </w:rPr>
  </w:style>
  <w:style w:type="paragraph" w:customStyle="1" w:styleId="AppendixHeading">
    <w:name w:val="Appendix Heading"/>
    <w:basedOn w:val="Heading1"/>
    <w:next w:val="Normal"/>
    <w:rsid w:val="005514E7"/>
    <w:pPr>
      <w:tabs>
        <w:tab w:val="num" w:pos="0"/>
      </w:tabs>
      <w:spacing w:before="60" w:after="240"/>
    </w:pPr>
    <w:rPr>
      <w:rFonts w:ascii="Arial Black" w:hAnsi="Arial Black"/>
      <w:b w:val="0"/>
      <w:color w:val="000000"/>
      <w:kern w:val="0"/>
    </w:rPr>
  </w:style>
  <w:style w:type="paragraph" w:customStyle="1" w:styleId="Pa0">
    <w:name w:val="Pa0"/>
    <w:basedOn w:val="Default"/>
    <w:next w:val="Default"/>
    <w:uiPriority w:val="99"/>
    <w:rsid w:val="0092190C"/>
    <w:pPr>
      <w:spacing w:line="241" w:lineRule="atLeast"/>
    </w:pPr>
    <w:rPr>
      <w:rFonts w:ascii="Swiss 72 1 BT" w:eastAsiaTheme="minorHAnsi" w:hAnsi="Swiss 72 1 BT" w:cstheme="minorBidi"/>
      <w:color w:val="auto"/>
      <w:lang w:eastAsia="en-US"/>
    </w:rPr>
  </w:style>
  <w:style w:type="character" w:styleId="CommentReference">
    <w:name w:val="annotation reference"/>
    <w:basedOn w:val="DefaultParagraphFont"/>
    <w:uiPriority w:val="99"/>
    <w:semiHidden/>
    <w:unhideWhenUsed/>
    <w:rsid w:val="00E1773C"/>
    <w:rPr>
      <w:sz w:val="16"/>
      <w:szCs w:val="16"/>
    </w:rPr>
  </w:style>
  <w:style w:type="paragraph" w:styleId="CommentText">
    <w:name w:val="annotation text"/>
    <w:basedOn w:val="Normal"/>
    <w:link w:val="CommentTextChar"/>
    <w:uiPriority w:val="99"/>
    <w:semiHidden/>
    <w:unhideWhenUsed/>
    <w:rsid w:val="00E1773C"/>
    <w:rPr>
      <w:sz w:val="20"/>
    </w:rPr>
  </w:style>
  <w:style w:type="character" w:customStyle="1" w:styleId="CommentTextChar">
    <w:name w:val="Comment Text Char"/>
    <w:basedOn w:val="DefaultParagraphFont"/>
    <w:link w:val="CommentText"/>
    <w:uiPriority w:val="99"/>
    <w:semiHidden/>
    <w:rsid w:val="00E1773C"/>
    <w:rPr>
      <w:rFonts w:ascii="Arial" w:hAnsi="Arial"/>
    </w:rPr>
  </w:style>
  <w:style w:type="paragraph" w:styleId="CommentSubject">
    <w:name w:val="annotation subject"/>
    <w:basedOn w:val="CommentText"/>
    <w:next w:val="CommentText"/>
    <w:link w:val="CommentSubjectChar"/>
    <w:uiPriority w:val="99"/>
    <w:semiHidden/>
    <w:unhideWhenUsed/>
    <w:rsid w:val="00E1773C"/>
    <w:rPr>
      <w:b/>
      <w:bCs/>
    </w:rPr>
  </w:style>
  <w:style w:type="character" w:customStyle="1" w:styleId="CommentSubjectChar">
    <w:name w:val="Comment Subject Char"/>
    <w:basedOn w:val="CommentTextChar"/>
    <w:link w:val="CommentSubject"/>
    <w:uiPriority w:val="99"/>
    <w:semiHidden/>
    <w:rsid w:val="00E1773C"/>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0027863">
      <w:bodyDiv w:val="1"/>
      <w:marLeft w:val="0"/>
      <w:marRight w:val="0"/>
      <w:marTop w:val="0"/>
      <w:marBottom w:val="0"/>
      <w:divBdr>
        <w:top w:val="none" w:sz="0" w:space="0" w:color="auto"/>
        <w:left w:val="none" w:sz="0" w:space="0" w:color="auto"/>
        <w:bottom w:val="none" w:sz="0" w:space="0" w:color="auto"/>
        <w:right w:val="none" w:sz="0" w:space="0" w:color="auto"/>
      </w:divBdr>
    </w:div>
    <w:div w:id="268316706">
      <w:bodyDiv w:val="1"/>
      <w:marLeft w:val="0"/>
      <w:marRight w:val="0"/>
      <w:marTop w:val="0"/>
      <w:marBottom w:val="0"/>
      <w:divBdr>
        <w:top w:val="none" w:sz="0" w:space="0" w:color="auto"/>
        <w:left w:val="none" w:sz="0" w:space="0" w:color="auto"/>
        <w:bottom w:val="none" w:sz="0" w:space="0" w:color="auto"/>
        <w:right w:val="none" w:sz="0" w:space="0" w:color="auto"/>
      </w:divBdr>
    </w:div>
    <w:div w:id="440151891">
      <w:bodyDiv w:val="1"/>
      <w:marLeft w:val="0"/>
      <w:marRight w:val="0"/>
      <w:marTop w:val="0"/>
      <w:marBottom w:val="0"/>
      <w:divBdr>
        <w:top w:val="none" w:sz="0" w:space="0" w:color="auto"/>
        <w:left w:val="none" w:sz="0" w:space="0" w:color="auto"/>
        <w:bottom w:val="none" w:sz="0" w:space="0" w:color="auto"/>
        <w:right w:val="none" w:sz="0" w:space="0" w:color="auto"/>
      </w:divBdr>
    </w:div>
    <w:div w:id="572392383">
      <w:bodyDiv w:val="1"/>
      <w:marLeft w:val="0"/>
      <w:marRight w:val="0"/>
      <w:marTop w:val="0"/>
      <w:marBottom w:val="0"/>
      <w:divBdr>
        <w:top w:val="none" w:sz="0" w:space="0" w:color="auto"/>
        <w:left w:val="none" w:sz="0" w:space="0" w:color="auto"/>
        <w:bottom w:val="none" w:sz="0" w:space="0" w:color="auto"/>
        <w:right w:val="none" w:sz="0" w:space="0" w:color="auto"/>
      </w:divBdr>
    </w:div>
    <w:div w:id="817769271">
      <w:bodyDiv w:val="1"/>
      <w:marLeft w:val="0"/>
      <w:marRight w:val="0"/>
      <w:marTop w:val="0"/>
      <w:marBottom w:val="0"/>
      <w:divBdr>
        <w:top w:val="none" w:sz="0" w:space="0" w:color="auto"/>
        <w:left w:val="none" w:sz="0" w:space="0" w:color="auto"/>
        <w:bottom w:val="none" w:sz="0" w:space="0" w:color="auto"/>
        <w:right w:val="none" w:sz="0" w:space="0" w:color="auto"/>
      </w:divBdr>
    </w:div>
    <w:div w:id="1395543684">
      <w:bodyDiv w:val="1"/>
      <w:marLeft w:val="0"/>
      <w:marRight w:val="0"/>
      <w:marTop w:val="0"/>
      <w:marBottom w:val="0"/>
      <w:divBdr>
        <w:top w:val="none" w:sz="0" w:space="0" w:color="auto"/>
        <w:left w:val="none" w:sz="0" w:space="0" w:color="auto"/>
        <w:bottom w:val="none" w:sz="0" w:space="0" w:color="auto"/>
        <w:right w:val="none" w:sz="0" w:space="0" w:color="auto"/>
      </w:divBdr>
    </w:div>
    <w:div w:id="1401517484">
      <w:bodyDiv w:val="1"/>
      <w:marLeft w:val="0"/>
      <w:marRight w:val="0"/>
      <w:marTop w:val="0"/>
      <w:marBottom w:val="0"/>
      <w:divBdr>
        <w:top w:val="none" w:sz="0" w:space="0" w:color="auto"/>
        <w:left w:val="none" w:sz="0" w:space="0" w:color="auto"/>
        <w:bottom w:val="none" w:sz="0" w:space="0" w:color="auto"/>
        <w:right w:val="none" w:sz="0" w:space="0" w:color="auto"/>
      </w:divBdr>
    </w:div>
    <w:div w:id="1407338342">
      <w:bodyDiv w:val="1"/>
      <w:marLeft w:val="0"/>
      <w:marRight w:val="0"/>
      <w:marTop w:val="0"/>
      <w:marBottom w:val="0"/>
      <w:divBdr>
        <w:top w:val="none" w:sz="0" w:space="0" w:color="auto"/>
        <w:left w:val="none" w:sz="0" w:space="0" w:color="auto"/>
        <w:bottom w:val="none" w:sz="0" w:space="0" w:color="auto"/>
        <w:right w:val="none" w:sz="0" w:space="0" w:color="auto"/>
      </w:divBdr>
    </w:div>
    <w:div w:id="1776049712">
      <w:bodyDiv w:val="1"/>
      <w:marLeft w:val="0"/>
      <w:marRight w:val="0"/>
      <w:marTop w:val="0"/>
      <w:marBottom w:val="0"/>
      <w:divBdr>
        <w:top w:val="none" w:sz="0" w:space="0" w:color="auto"/>
        <w:left w:val="none" w:sz="0" w:space="0" w:color="auto"/>
        <w:bottom w:val="none" w:sz="0" w:space="0" w:color="auto"/>
        <w:right w:val="none" w:sz="0" w:space="0" w:color="auto"/>
      </w:divBdr>
    </w:div>
    <w:div w:id="1853570494">
      <w:bodyDiv w:val="1"/>
      <w:marLeft w:val="0"/>
      <w:marRight w:val="0"/>
      <w:marTop w:val="0"/>
      <w:marBottom w:val="0"/>
      <w:divBdr>
        <w:top w:val="none" w:sz="0" w:space="0" w:color="auto"/>
        <w:left w:val="none" w:sz="0" w:space="0" w:color="auto"/>
        <w:bottom w:val="none" w:sz="0" w:space="0" w:color="auto"/>
        <w:right w:val="none" w:sz="0" w:space="0" w:color="auto"/>
      </w:divBdr>
    </w:div>
    <w:div w:id="1864980799">
      <w:bodyDiv w:val="1"/>
      <w:marLeft w:val="0"/>
      <w:marRight w:val="0"/>
      <w:marTop w:val="0"/>
      <w:marBottom w:val="0"/>
      <w:divBdr>
        <w:top w:val="none" w:sz="0" w:space="0" w:color="auto"/>
        <w:left w:val="none" w:sz="0" w:space="0" w:color="auto"/>
        <w:bottom w:val="none" w:sz="0" w:space="0" w:color="auto"/>
        <w:right w:val="none" w:sz="0" w:space="0" w:color="auto"/>
      </w:divBdr>
    </w:div>
    <w:div w:id="1887598706">
      <w:bodyDiv w:val="1"/>
      <w:marLeft w:val="0"/>
      <w:marRight w:val="0"/>
      <w:marTop w:val="0"/>
      <w:marBottom w:val="0"/>
      <w:divBdr>
        <w:top w:val="none" w:sz="0" w:space="0" w:color="auto"/>
        <w:left w:val="none" w:sz="0" w:space="0" w:color="auto"/>
        <w:bottom w:val="none" w:sz="0" w:space="0" w:color="auto"/>
        <w:right w:val="none" w:sz="0" w:space="0" w:color="auto"/>
      </w:divBdr>
    </w:div>
    <w:div w:id="188771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rpensionservice.org.uk/local_government/?siteid=5921&amp;pageid=33736&amp;e=e" TargetMode="External"/><Relationship Id="rId13" Type="http://schemas.openxmlformats.org/officeDocument/2006/relationships/hyperlink" Target="mailto:pensions.helpdesk@lancashire.gov.uk" TargetMode="External"/><Relationship Id="rId18" Type="http://schemas.openxmlformats.org/officeDocument/2006/relationships/hyperlink" Target="http://www.yourpensionservice.org.uk/local_government/index.asp?siteid=5921&amp;pageid=33736&amp;e=e" TargetMode="External"/><Relationship Id="rId26" Type="http://schemas.openxmlformats.org/officeDocument/2006/relationships/chart" Target="charts/chart5.xml"/><Relationship Id="rId39" Type="http://schemas.openxmlformats.org/officeDocument/2006/relationships/footer" Target="footer2.xml"/><Relationship Id="rId155"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www.yourpensionservice.org.uk/local_government/index.asp?siteid=5921&amp;pageid=33736&amp;e=e" TargetMode="External"/><Relationship Id="rId34" Type="http://schemas.openxmlformats.org/officeDocument/2006/relationships/hyperlink" Target="http://www.yourpensionservice.org.uk/local_government/index.asp?siteid=5921&amp;pageid=33736&amp;e=e" TargetMode="External"/><Relationship Id="rId7" Type="http://schemas.openxmlformats.org/officeDocument/2006/relationships/endnotes" Target="endnotes.xml"/><Relationship Id="rId12" Type="http://schemas.openxmlformats.org/officeDocument/2006/relationships/hyperlink" Target="http://www.yourpensionservice.org.uk" TargetMode="External"/><Relationship Id="rId17" Type="http://schemas.openxmlformats.org/officeDocument/2006/relationships/hyperlink" Target="http://www.yourpensionservice.org.uk/local_government/index.asp?siteid=5921&amp;pageid=33736&amp;e=e" TargetMode="External"/><Relationship Id="rId25" Type="http://schemas.openxmlformats.org/officeDocument/2006/relationships/chart" Target="charts/chart4.xml"/><Relationship Id="rId33" Type="http://schemas.openxmlformats.org/officeDocument/2006/relationships/hyperlink" Target="http://www.yourpensionservice.org.uk/local_government/index.asp?siteid=5921&amp;pageid=33736&amp;e=e"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yourpensionservice.org.uk/local_government/index.asp?siteid=5921&amp;pageid=33736&amp;e=e" TargetMode="External"/><Relationship Id="rId20" Type="http://schemas.openxmlformats.org/officeDocument/2006/relationships/chart" Target="charts/chart1.xml"/><Relationship Id="rId29" Type="http://schemas.openxmlformats.org/officeDocument/2006/relationships/chart" Target="charts/chart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rpensionservice.org.uk/local_government/index.asp?siteid=5921&amp;pageid=33736&amp;e=e" TargetMode="External"/><Relationship Id="rId24" Type="http://schemas.openxmlformats.org/officeDocument/2006/relationships/chart" Target="charts/chart3.xml"/><Relationship Id="rId32" Type="http://schemas.openxmlformats.org/officeDocument/2006/relationships/chart" Target="charts/chart7.xm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ourpensionservice.org.uk/local_government/index.asp?siteid=5921&amp;pageid=33736&amp;e=e" TargetMode="External"/><Relationship Id="rId23" Type="http://schemas.openxmlformats.org/officeDocument/2006/relationships/hyperlink" Target="http://www.yourpensionservice.org.uk/local_government/index.asp?siteid=5921&amp;pageid=33736&amp;e=e" TargetMode="External"/><Relationship Id="rId28" Type="http://schemas.openxmlformats.org/officeDocument/2006/relationships/hyperlink" Target="http://www.yourpensionservice.org.uk" TargetMode="External"/><Relationship Id="rId36" Type="http://schemas.openxmlformats.org/officeDocument/2006/relationships/hyperlink" Target="http://www.yourpensionservice.org.uk" TargetMode="External"/><Relationship Id="rId10" Type="http://schemas.openxmlformats.org/officeDocument/2006/relationships/hyperlink" Target="http://www.lgps.org.uk" TargetMode="External"/><Relationship Id="rId19" Type="http://schemas.openxmlformats.org/officeDocument/2006/relationships/hyperlink" Target="http://www.yourpensionservice.org.uk/local_government/index.asp?siteid=5921&amp;pageid=33736&amp;e=e" TargetMode="External"/><Relationship Id="rId31" Type="http://schemas.openxmlformats.org/officeDocument/2006/relationships/hyperlink" Target="http://www.yourpensionservice.org.uk/local_government/index.asp?siteid=5921&amp;pageid=33736&amp;e=e" TargetMode="External"/><Relationship Id="rId4" Type="http://schemas.openxmlformats.org/officeDocument/2006/relationships/settings" Target="settings.xml"/><Relationship Id="rId9" Type="http://schemas.openxmlformats.org/officeDocument/2006/relationships/hyperlink" Target="http://www.yourpensionservice.org.uk/local_government/index.asp?siteid=5921&amp;pageid=33736&amp;e=e" TargetMode="External"/><Relationship Id="rId14" Type="http://schemas.openxmlformats.org/officeDocument/2006/relationships/hyperlink" Target="http://www.yourpensionservice.org.uk" TargetMode="External"/><Relationship Id="rId22" Type="http://schemas.openxmlformats.org/officeDocument/2006/relationships/chart" Target="charts/chart2.xml"/><Relationship Id="rId27" Type="http://schemas.openxmlformats.org/officeDocument/2006/relationships/hyperlink" Target="http://www.yourpensionservice.org.uk/local_government/index.asp?siteid=5921&amp;pageid=33736&amp;e=e" TargetMode="External"/><Relationship Id="rId30" Type="http://schemas.openxmlformats.org/officeDocument/2006/relationships/hyperlink" Target="http://www.yourpensionservice.org.uk" TargetMode="External"/><Relationship Id="rId35"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orpdata02\res\Finance\TreasMan\Pensions\Annual%20Rep\1112\Graphs%2011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orpdata02\res\Finance\TreasMan\Pensions\Annual%20Rep\1112\Graphs%20111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orpdata02\res\Finance\TreasMan\Pensions\Annual%20Rep\1112\Graphs%20111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orpdata02\res\Finance\TreasMan\Pensions\Annual%20Rep\1112\Graphs%20111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orpdata02\res\Finance\TreasMan\Pensions\Annual%20Rep\1112\Graphs%201112.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sz="1200" b="1"/>
              <a:t>Value of Fund</a:t>
            </a:r>
            <a:r>
              <a:rPr lang="en-GB" sz="1200" b="1" baseline="0"/>
              <a:t> over 10 years to date</a:t>
            </a:r>
            <a:endParaRPr lang="en-GB" sz="1200" b="1"/>
          </a:p>
        </c:rich>
      </c:tx>
      <c:layout>
        <c:manualLayout>
          <c:xMode val="edge"/>
          <c:yMode val="edge"/>
          <c:x val="0.23839688738094741"/>
          <c:y val="6.7308970873378171E-2"/>
        </c:manualLayout>
      </c:layout>
    </c:title>
    <c:plotArea>
      <c:layout>
        <c:manualLayout>
          <c:layoutTarget val="inner"/>
          <c:xMode val="edge"/>
          <c:yMode val="edge"/>
          <c:x val="0.1"/>
          <c:y val="0.11706417475670063"/>
          <c:w val="0.75000000000000544"/>
          <c:h val="0.72950819672131151"/>
        </c:manualLayout>
      </c:layout>
      <c:barChart>
        <c:barDir val="col"/>
        <c:grouping val="clustered"/>
        <c:ser>
          <c:idx val="0"/>
          <c:order val="0"/>
          <c:spPr>
            <a:solidFill>
              <a:schemeClr val="bg1">
                <a:lumMod val="50000"/>
              </a:schemeClr>
            </a:solidFill>
            <a:ln w="12700">
              <a:solidFill>
                <a:srgbClr val="000000"/>
              </a:solidFill>
              <a:prstDash val="solid"/>
            </a:ln>
          </c:spPr>
          <c:dLbls>
            <c:numFmt formatCode="0.000" sourceLinked="0"/>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outEnd"/>
            <c:showVal val="1"/>
          </c:dLbls>
          <c:cat>
            <c:strRef>
              <c:f>'Value of Fund'!$A$1:$A$10</c:f>
              <c:strCache>
                <c:ptCount val="10"/>
                <c:pt idx="0">
                  <c:v>2002/03</c:v>
                </c:pt>
                <c:pt idx="1">
                  <c:v>2003/04</c:v>
                </c:pt>
                <c:pt idx="2">
                  <c:v>2004/05</c:v>
                </c:pt>
                <c:pt idx="3">
                  <c:v>2005/06</c:v>
                </c:pt>
                <c:pt idx="4">
                  <c:v>2006/07</c:v>
                </c:pt>
                <c:pt idx="5">
                  <c:v>2007/08</c:v>
                </c:pt>
                <c:pt idx="6">
                  <c:v>2008/09</c:v>
                </c:pt>
                <c:pt idx="7">
                  <c:v>2009/10</c:v>
                </c:pt>
                <c:pt idx="8">
                  <c:v>2010/11</c:v>
                </c:pt>
                <c:pt idx="9">
                  <c:v>2011/12</c:v>
                </c:pt>
              </c:strCache>
            </c:strRef>
          </c:cat>
          <c:val>
            <c:numRef>
              <c:f>'Value of Fund'!$B$1:$B$10</c:f>
              <c:numCache>
                <c:formatCode>General</c:formatCode>
                <c:ptCount val="10"/>
                <c:pt idx="0">
                  <c:v>1.9880000000000015</c:v>
                </c:pt>
                <c:pt idx="1">
                  <c:v>2.4489999999999998</c:v>
                </c:pt>
                <c:pt idx="2">
                  <c:v>2.7829999999999999</c:v>
                </c:pt>
                <c:pt idx="3">
                  <c:v>3.4779999999999998</c:v>
                </c:pt>
                <c:pt idx="4">
                  <c:v>3.6890000000000001</c:v>
                </c:pt>
                <c:pt idx="5" formatCode="0.000">
                  <c:v>3.67</c:v>
                </c:pt>
                <c:pt idx="6" formatCode="0.000">
                  <c:v>2.9339999999999997</c:v>
                </c:pt>
                <c:pt idx="7">
                  <c:v>3.9619999999999997</c:v>
                </c:pt>
                <c:pt idx="8">
                  <c:v>4.2939999999999996</c:v>
                </c:pt>
                <c:pt idx="9" formatCode="0.000">
                  <c:v>4.38</c:v>
                </c:pt>
              </c:numCache>
            </c:numRef>
          </c:val>
        </c:ser>
        <c:gapWidth val="40"/>
        <c:axId val="78420608"/>
        <c:axId val="78594816"/>
      </c:barChart>
      <c:catAx>
        <c:axId val="78420608"/>
        <c:scaling>
          <c:orientation val="minMax"/>
        </c:scaling>
        <c:axPos val="b"/>
        <c:numFmt formatCode="General" sourceLinked="1"/>
        <c:tickLblPos val="nextTo"/>
        <c:spPr>
          <a:ln w="3175">
            <a:solidFill>
              <a:srgbClr val="000000"/>
            </a:solidFill>
            <a:prstDash val="solid"/>
          </a:ln>
        </c:spPr>
        <c:txPr>
          <a:bodyPr rot="5400000" vert="horz" anchor="t" anchorCtr="0"/>
          <a:lstStyle/>
          <a:p>
            <a:pPr>
              <a:defRPr sz="1075" b="1" i="0" u="none" strike="noStrike" baseline="0">
                <a:solidFill>
                  <a:srgbClr val="000000"/>
                </a:solidFill>
                <a:latin typeface="Arial"/>
                <a:ea typeface="Arial"/>
                <a:cs typeface="Arial"/>
              </a:defRPr>
            </a:pPr>
            <a:endParaRPr lang="en-US"/>
          </a:p>
        </c:txPr>
        <c:crossAx val="78594816"/>
        <c:crosses val="autoZero"/>
        <c:auto val="1"/>
        <c:lblAlgn val="ctr"/>
        <c:lblOffset val="100"/>
        <c:tickLblSkip val="1"/>
        <c:tickMarkSkip val="1"/>
      </c:catAx>
      <c:valAx>
        <c:axId val="78594816"/>
        <c:scaling>
          <c:orientation val="minMax"/>
          <c:max val="4.5"/>
          <c:min val="0"/>
        </c:scaling>
        <c:axPos val="l"/>
        <c:majorGridlines>
          <c:spPr>
            <a:ln w="3175">
              <a:solidFill>
                <a:schemeClr val="bg1"/>
              </a:solidFill>
              <a:prstDash val="solid"/>
            </a:ln>
          </c:spPr>
        </c:majorGridlines>
        <c:title>
          <c:tx>
            <c:rich>
              <a:bodyPr rot="5400000" vert="horz"/>
              <a:lstStyle/>
              <a:p>
                <a:pPr algn="ctr">
                  <a:defRPr sz="1075" b="1" i="0" u="none" strike="noStrike" baseline="0">
                    <a:solidFill>
                      <a:srgbClr val="000000"/>
                    </a:solidFill>
                    <a:latin typeface="Arial"/>
                    <a:ea typeface="Arial"/>
                    <a:cs typeface="Arial"/>
                  </a:defRPr>
                </a:pPr>
                <a:r>
                  <a:rPr lang="en-GB"/>
                  <a:t>£bn</a:t>
                </a:r>
              </a:p>
            </c:rich>
          </c:tx>
          <c:layout>
            <c:manualLayout>
              <c:xMode val="edge"/>
              <c:yMode val="edge"/>
              <c:x val="2.5675675675676295E-2"/>
              <c:y val="0.56557377049180324"/>
            </c:manualLayout>
          </c:layout>
          <c:spPr>
            <a:noFill/>
            <a:ln w="25400">
              <a:noFill/>
            </a:ln>
          </c:spPr>
        </c:title>
        <c:numFmt formatCode="0" sourceLinked="0"/>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78420608"/>
        <c:crosses val="autoZero"/>
        <c:crossBetween val="between"/>
        <c:majorUnit val="1"/>
        <c:minorUnit val="0.5"/>
      </c:valAx>
      <c:spPr>
        <a:noFill/>
        <a:ln w="25400">
          <a:noFill/>
        </a:ln>
      </c:spPr>
    </c:plotArea>
    <c:plotVisOnly val="1"/>
    <c:dispBlanksAs val="gap"/>
  </c:chart>
  <c:spPr>
    <a:solidFill>
      <a:schemeClr val="bg1"/>
    </a:solidFill>
    <a:ln w="3175">
      <a:noFill/>
      <a:prstDash val="solid"/>
    </a:ln>
  </c:spPr>
  <c:txPr>
    <a:bodyPr/>
    <a:lstStyle/>
    <a:p>
      <a:pPr>
        <a:defRPr sz="1825"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style val="17"/>
  <c:chart>
    <c:plotArea>
      <c:layout>
        <c:manualLayout>
          <c:layoutTarget val="inner"/>
          <c:xMode val="edge"/>
          <c:yMode val="edge"/>
          <c:x val="0.14522432502954669"/>
          <c:y val="7.4681525465054466E-2"/>
          <c:w val="0.731969885343286"/>
          <c:h val="0.80145948969493552"/>
        </c:manualLayout>
      </c:layout>
      <c:barChart>
        <c:barDir val="col"/>
        <c:grouping val="clustered"/>
        <c:ser>
          <c:idx val="0"/>
          <c:order val="0"/>
          <c:tx>
            <c:v>Lancashire Fund</c:v>
          </c:tx>
          <c:dLbls>
            <c:showVal val="1"/>
          </c:dLbls>
          <c:cat>
            <c:strRef>
              <c:f>'Total Fund Performance 10 yrs'!$A$1:$A$4</c:f>
              <c:strCache>
                <c:ptCount val="4"/>
                <c:pt idx="0">
                  <c:v>1 Year</c:v>
                </c:pt>
                <c:pt idx="1">
                  <c:v>3 Years</c:v>
                </c:pt>
                <c:pt idx="2">
                  <c:v>5 Years</c:v>
                </c:pt>
                <c:pt idx="3">
                  <c:v>10 Years</c:v>
                </c:pt>
              </c:strCache>
            </c:strRef>
          </c:cat>
          <c:val>
            <c:numRef>
              <c:f>'Total Fund Performance 10 yrs'!$B$1:$B$4</c:f>
              <c:numCache>
                <c:formatCode>General</c:formatCode>
                <c:ptCount val="4"/>
                <c:pt idx="0">
                  <c:v>2.2999999999999998</c:v>
                </c:pt>
                <c:pt idx="1">
                  <c:v>14</c:v>
                </c:pt>
                <c:pt idx="2" formatCode="0.0">
                  <c:v>3.1</c:v>
                </c:pt>
                <c:pt idx="3" formatCode="0.0">
                  <c:v>5.5</c:v>
                </c:pt>
              </c:numCache>
            </c:numRef>
          </c:val>
        </c:ser>
        <c:ser>
          <c:idx val="1"/>
          <c:order val="1"/>
          <c:tx>
            <c:v>Benchmark</c:v>
          </c:tx>
          <c:spPr>
            <a:solidFill>
              <a:schemeClr val="bg1">
                <a:lumMod val="85000"/>
              </a:schemeClr>
            </a:solidFill>
          </c:spPr>
          <c:dLbls>
            <c:dLblPos val="outEnd"/>
            <c:showVal val="1"/>
          </c:dLbls>
          <c:cat>
            <c:strRef>
              <c:f>'Total Fund Performance 10 yrs'!$A$1:$A$4</c:f>
              <c:strCache>
                <c:ptCount val="4"/>
                <c:pt idx="0">
                  <c:v>1 Year</c:v>
                </c:pt>
                <c:pt idx="1">
                  <c:v>3 Years</c:v>
                </c:pt>
                <c:pt idx="2">
                  <c:v>5 Years</c:v>
                </c:pt>
                <c:pt idx="3">
                  <c:v>10 Years</c:v>
                </c:pt>
              </c:strCache>
            </c:strRef>
          </c:cat>
          <c:val>
            <c:numRef>
              <c:f>'Total Fund Performance 10 yrs'!$C$1:$C$4</c:f>
              <c:numCache>
                <c:formatCode>0.0</c:formatCode>
                <c:ptCount val="4"/>
                <c:pt idx="0" formatCode="General">
                  <c:v>3.3</c:v>
                </c:pt>
                <c:pt idx="1">
                  <c:v>15.2</c:v>
                </c:pt>
                <c:pt idx="2" formatCode="General">
                  <c:v>3.7</c:v>
                </c:pt>
                <c:pt idx="3" formatCode="General">
                  <c:v>6</c:v>
                </c:pt>
              </c:numCache>
            </c:numRef>
          </c:val>
        </c:ser>
        <c:ser>
          <c:idx val="2"/>
          <c:order val="2"/>
          <c:tx>
            <c:v>Local Authority Average</c:v>
          </c:tx>
          <c:spPr>
            <a:solidFill>
              <a:schemeClr val="bg1">
                <a:lumMod val="65000"/>
              </a:schemeClr>
            </a:solidFill>
          </c:spPr>
          <c:dLbls>
            <c:dLblPos val="outEnd"/>
            <c:showVal val="1"/>
          </c:dLbls>
          <c:cat>
            <c:strRef>
              <c:f>'Total Fund Performance 10 yrs'!$A$1:$A$4</c:f>
              <c:strCache>
                <c:ptCount val="4"/>
                <c:pt idx="0">
                  <c:v>1 Year</c:v>
                </c:pt>
                <c:pt idx="1">
                  <c:v>3 Years</c:v>
                </c:pt>
                <c:pt idx="2">
                  <c:v>5 Years</c:v>
                </c:pt>
                <c:pt idx="3">
                  <c:v>10 Years</c:v>
                </c:pt>
              </c:strCache>
            </c:strRef>
          </c:cat>
          <c:val>
            <c:numRef>
              <c:f>'Total Fund Performance 10 yrs'!$D$1:$D$4</c:f>
              <c:numCache>
                <c:formatCode>General</c:formatCode>
                <c:ptCount val="4"/>
                <c:pt idx="0" formatCode="0.0">
                  <c:v>2.6</c:v>
                </c:pt>
                <c:pt idx="1">
                  <c:v>14.5</c:v>
                </c:pt>
                <c:pt idx="2" formatCode="0.0">
                  <c:v>3.2</c:v>
                </c:pt>
                <c:pt idx="3">
                  <c:v>5.7</c:v>
                </c:pt>
              </c:numCache>
            </c:numRef>
          </c:val>
        </c:ser>
        <c:gapWidth val="70"/>
        <c:axId val="89553536"/>
        <c:axId val="89563520"/>
      </c:barChart>
      <c:catAx>
        <c:axId val="89553536"/>
        <c:scaling>
          <c:orientation val="minMax"/>
        </c:scaling>
        <c:axPos val="b"/>
        <c:numFmt formatCode="General" sourceLinked="0"/>
        <c:majorTickMark val="none"/>
        <c:minorTickMark val="out"/>
        <c:tickLblPos val="low"/>
        <c:txPr>
          <a:bodyPr rot="0" vert="horz"/>
          <a:lstStyle/>
          <a:p>
            <a:pPr>
              <a:defRPr/>
            </a:pPr>
            <a:endParaRPr lang="en-US"/>
          </a:p>
        </c:txPr>
        <c:crossAx val="89563520"/>
        <c:crosses val="autoZero"/>
        <c:auto val="1"/>
        <c:lblAlgn val="ctr"/>
        <c:lblOffset val="100"/>
        <c:tickLblSkip val="1"/>
        <c:tickMarkSkip val="1"/>
      </c:catAx>
      <c:valAx>
        <c:axId val="89563520"/>
        <c:scaling>
          <c:orientation val="minMax"/>
          <c:max val="40"/>
          <c:min val="-5"/>
        </c:scaling>
        <c:axPos val="l"/>
        <c:majorGridlines>
          <c:spPr>
            <a:ln>
              <a:solidFill>
                <a:schemeClr val="bg1"/>
              </a:solidFill>
            </a:ln>
          </c:spPr>
        </c:majorGridlines>
        <c:title>
          <c:tx>
            <c:rich>
              <a:bodyPr rot="5400000" vert="horz"/>
              <a:lstStyle/>
              <a:p>
                <a:pPr>
                  <a:defRPr/>
                </a:pPr>
                <a:r>
                  <a:rPr lang="en-GB"/>
                  <a:t>Annualised Return %</a:t>
                </a:r>
              </a:p>
            </c:rich>
          </c:tx>
          <c:layout>
            <c:manualLayout>
              <c:xMode val="edge"/>
              <c:yMode val="edge"/>
              <c:x val="3.6549707602339658E-2"/>
              <c:y val="0.31967299169571672"/>
            </c:manualLayout>
          </c:layout>
        </c:title>
        <c:numFmt formatCode="General" sourceLinked="1"/>
        <c:tickLblPos val="nextTo"/>
        <c:txPr>
          <a:bodyPr rot="0" vert="horz"/>
          <a:lstStyle/>
          <a:p>
            <a:pPr>
              <a:defRPr/>
            </a:pPr>
            <a:endParaRPr lang="en-US"/>
          </a:p>
        </c:txPr>
        <c:crossAx val="89553536"/>
        <c:crosses val="autoZero"/>
        <c:crossBetween val="between"/>
      </c:valAx>
    </c:plotArea>
    <c:legend>
      <c:legendPos val="r"/>
      <c:layout>
        <c:manualLayout>
          <c:xMode val="edge"/>
          <c:yMode val="edge"/>
          <c:x val="0.66423094043069175"/>
          <c:y val="6.8306297778351871E-2"/>
          <c:w val="0.22242590290248843"/>
          <c:h val="0.3907057929234285"/>
        </c:manualLayout>
      </c:layout>
      <c:spPr>
        <a:solidFill>
          <a:schemeClr val="bg1"/>
        </a:solidFill>
      </c:spPr>
    </c:legend>
    <c:plotVisOnly val="1"/>
    <c:dispBlanksAs val="gap"/>
  </c:chart>
  <c:spPr>
    <a:no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sz="1200" b="1" i="0" baseline="0"/>
              <a:t>One year manager performance against benchmark index</a:t>
            </a:r>
          </a:p>
          <a:p>
            <a:pPr>
              <a:defRPr/>
            </a:pPr>
            <a:r>
              <a:rPr lang="en-US" sz="1000" b="1" i="0" baseline="0"/>
              <a:t># = not invested in this area for the entire period</a:t>
            </a:r>
          </a:p>
          <a:p>
            <a:pPr>
              <a:defRPr/>
            </a:pPr>
            <a:endParaRPr lang="en-US" sz="1200" b="1" i="0" baseline="0"/>
          </a:p>
          <a:p>
            <a:pPr>
              <a:defRPr/>
            </a:pPr>
            <a:endParaRPr lang="en-US" sz="1200" b="1" i="0" baseline="0"/>
          </a:p>
        </c:rich>
      </c:tx>
      <c:layout>
        <c:manualLayout>
          <c:xMode val="edge"/>
          <c:yMode val="edge"/>
          <c:x val="0.15463702465144191"/>
          <c:y val="2.5690419921039391E-3"/>
        </c:manualLayout>
      </c:layout>
    </c:title>
    <c:plotArea>
      <c:layout>
        <c:manualLayout>
          <c:layoutTarget val="inner"/>
          <c:xMode val="edge"/>
          <c:yMode val="edge"/>
          <c:x val="0.10541758115450355"/>
          <c:y val="4.4351651919799555E-2"/>
          <c:w val="0.75283845455994214"/>
          <c:h val="0.69380644438080474"/>
        </c:manualLayout>
      </c:layout>
      <c:barChart>
        <c:barDir val="col"/>
        <c:grouping val="clustered"/>
        <c:ser>
          <c:idx val="0"/>
          <c:order val="0"/>
          <c:tx>
            <c:strRef>
              <c:f>'Managers 1 year '!$B$1</c:f>
              <c:strCache>
                <c:ptCount val="1"/>
                <c:pt idx="0">
                  <c:v>Lancashire return</c:v>
                </c:pt>
              </c:strCache>
            </c:strRef>
          </c:tx>
          <c:spPr>
            <a:solidFill>
              <a:schemeClr val="bg1">
                <a:lumMod val="50000"/>
              </a:schemeClr>
            </a:solidFill>
            <a:ln w="12700">
              <a:solidFill>
                <a:srgbClr val="000000"/>
              </a:solidFill>
              <a:prstDash val="solid"/>
            </a:ln>
          </c:spPr>
          <c:dLbls>
            <c:numFmt formatCode="0.0" sourceLinked="0"/>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outEnd"/>
            <c:showVal val="1"/>
          </c:dLbls>
          <c:cat>
            <c:strRef>
              <c:f>'Managers 1 year '!$A$2:$A$11</c:f>
              <c:strCache>
                <c:ptCount val="10"/>
                <c:pt idx="0">
                  <c:v>Legal &amp; General 1</c:v>
                </c:pt>
                <c:pt idx="1">
                  <c:v>Transition</c:v>
                </c:pt>
                <c:pt idx="2">
                  <c:v>Newton</c:v>
                </c:pt>
                <c:pt idx="3">
                  <c:v>J P Morgan</c:v>
                </c:pt>
                <c:pt idx="4">
                  <c:v>UBS</c:v>
                </c:pt>
                <c:pt idx="5">
                  <c:v>Gottex #</c:v>
                </c:pt>
                <c:pt idx="6">
                  <c:v>Knight Frank</c:v>
                </c:pt>
                <c:pt idx="7">
                  <c:v>Capital Dynamics</c:v>
                </c:pt>
                <c:pt idx="8">
                  <c:v>Infrastructure #</c:v>
                </c:pt>
                <c:pt idx="9">
                  <c:v>Internal cash</c:v>
                </c:pt>
              </c:strCache>
            </c:strRef>
          </c:cat>
          <c:val>
            <c:numRef>
              <c:f>'Managers 1 year '!$B$2:$B$11</c:f>
              <c:numCache>
                <c:formatCode>General</c:formatCode>
                <c:ptCount val="10"/>
                <c:pt idx="0">
                  <c:v>1.1000000000000001</c:v>
                </c:pt>
                <c:pt idx="1">
                  <c:v>-0.93</c:v>
                </c:pt>
                <c:pt idx="2" formatCode="0.0">
                  <c:v>-3.7</c:v>
                </c:pt>
                <c:pt idx="3">
                  <c:v>0.2</c:v>
                </c:pt>
                <c:pt idx="4">
                  <c:v>11.4</c:v>
                </c:pt>
                <c:pt idx="5">
                  <c:v>-6.5</c:v>
                </c:pt>
                <c:pt idx="6">
                  <c:v>5.6</c:v>
                </c:pt>
                <c:pt idx="7">
                  <c:v>7.1</c:v>
                </c:pt>
                <c:pt idx="8">
                  <c:v>41.5</c:v>
                </c:pt>
                <c:pt idx="9">
                  <c:v>0</c:v>
                </c:pt>
              </c:numCache>
            </c:numRef>
          </c:val>
        </c:ser>
        <c:ser>
          <c:idx val="1"/>
          <c:order val="1"/>
          <c:tx>
            <c:strRef>
              <c:f>'Managers 1 year '!$C$1</c:f>
              <c:strCache>
                <c:ptCount val="1"/>
                <c:pt idx="0">
                  <c:v>Benchmark return</c:v>
                </c:pt>
              </c:strCache>
            </c:strRef>
          </c:tx>
          <c:spPr>
            <a:solidFill>
              <a:schemeClr val="bg1">
                <a:lumMod val="85000"/>
              </a:schemeClr>
            </a:solidFill>
            <a:ln w="12700">
              <a:solidFill>
                <a:srgbClr val="000000"/>
              </a:solidFill>
              <a:prstDash val="solid"/>
            </a:ln>
          </c:spPr>
          <c:dLbls>
            <c:numFmt formatCode="General" sourceLinked="0"/>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outEnd"/>
            <c:showVal val="1"/>
          </c:dLbls>
          <c:cat>
            <c:strRef>
              <c:f>'Managers 1 year '!$A$2:$A$11</c:f>
              <c:strCache>
                <c:ptCount val="10"/>
                <c:pt idx="0">
                  <c:v>Legal &amp; General 1</c:v>
                </c:pt>
                <c:pt idx="1">
                  <c:v>Transition</c:v>
                </c:pt>
                <c:pt idx="2">
                  <c:v>Newton</c:v>
                </c:pt>
                <c:pt idx="3">
                  <c:v>J P Morgan</c:v>
                </c:pt>
                <c:pt idx="4">
                  <c:v>UBS</c:v>
                </c:pt>
                <c:pt idx="5">
                  <c:v>Gottex #</c:v>
                </c:pt>
                <c:pt idx="6">
                  <c:v>Knight Frank</c:v>
                </c:pt>
                <c:pt idx="7">
                  <c:v>Capital Dynamics</c:v>
                </c:pt>
                <c:pt idx="8">
                  <c:v>Infrastructure #</c:v>
                </c:pt>
                <c:pt idx="9">
                  <c:v>Internal cash</c:v>
                </c:pt>
              </c:strCache>
            </c:strRef>
          </c:cat>
          <c:val>
            <c:numRef>
              <c:f>'Managers 1 year '!$C$2:$C$11</c:f>
              <c:numCache>
                <c:formatCode>0.0</c:formatCode>
                <c:ptCount val="10"/>
                <c:pt idx="0">
                  <c:v>1.1000000000000001</c:v>
                </c:pt>
                <c:pt idx="1">
                  <c:v>-0.70000000000000062</c:v>
                </c:pt>
                <c:pt idx="2">
                  <c:v>-0.2</c:v>
                </c:pt>
                <c:pt idx="3">
                  <c:v>1.4</c:v>
                </c:pt>
                <c:pt idx="4">
                  <c:v>13</c:v>
                </c:pt>
                <c:pt idx="5">
                  <c:v>6.5</c:v>
                </c:pt>
                <c:pt idx="6">
                  <c:v>6.6</c:v>
                </c:pt>
                <c:pt idx="7">
                  <c:v>1.4</c:v>
                </c:pt>
                <c:pt idx="8">
                  <c:v>8</c:v>
                </c:pt>
                <c:pt idx="9">
                  <c:v>0.5</c:v>
                </c:pt>
              </c:numCache>
            </c:numRef>
          </c:val>
        </c:ser>
        <c:dLbls>
          <c:showVal val="1"/>
        </c:dLbls>
        <c:gapWidth val="30"/>
        <c:axId val="97336320"/>
        <c:axId val="97405568"/>
      </c:barChart>
      <c:catAx>
        <c:axId val="97336320"/>
        <c:scaling>
          <c:orientation val="minMax"/>
        </c:scaling>
        <c:axPos val="b"/>
        <c:numFmt formatCode="General" sourceLinked="1"/>
        <c:tickLblPos val="low"/>
        <c:spPr>
          <a:ln w="3175">
            <a:solidFill>
              <a:srgbClr val="000000"/>
            </a:solidFill>
            <a:prstDash val="solid"/>
          </a:ln>
        </c:spPr>
        <c:txPr>
          <a:bodyPr rot="5400000" vert="horz"/>
          <a:lstStyle/>
          <a:p>
            <a:pPr rtl="0">
              <a:defRPr sz="900" b="1" i="0" u="none" strike="noStrike" baseline="0">
                <a:solidFill>
                  <a:srgbClr val="000000"/>
                </a:solidFill>
                <a:latin typeface="Arial"/>
                <a:ea typeface="Arial"/>
                <a:cs typeface="Arial"/>
              </a:defRPr>
            </a:pPr>
            <a:endParaRPr lang="en-US"/>
          </a:p>
        </c:txPr>
        <c:crossAx val="97405568"/>
        <c:crosses val="autoZero"/>
        <c:auto val="1"/>
        <c:lblAlgn val="ctr"/>
        <c:lblOffset val="250"/>
        <c:tickLblSkip val="1"/>
        <c:tickMarkSkip val="1"/>
      </c:catAx>
      <c:valAx>
        <c:axId val="97405568"/>
        <c:scaling>
          <c:orientation val="minMax"/>
          <c:max val="55"/>
          <c:min val="-10"/>
        </c:scaling>
        <c:axPos val="l"/>
        <c:majorGridlines>
          <c:spPr>
            <a:ln w="3175">
              <a:solidFill>
                <a:schemeClr val="bg1"/>
              </a:solidFill>
              <a:prstDash val="solid"/>
            </a:ln>
          </c:spPr>
        </c:majorGridlines>
        <c:title>
          <c:tx>
            <c:rich>
              <a:bodyPr rot="5400000" vert="horz"/>
              <a:lstStyle/>
              <a:p>
                <a:pPr algn="ctr">
                  <a:defRPr sz="900" b="1" i="0" u="none" strike="noStrike" baseline="0">
                    <a:solidFill>
                      <a:srgbClr val="000000"/>
                    </a:solidFill>
                    <a:latin typeface="Arial"/>
                    <a:ea typeface="Arial"/>
                    <a:cs typeface="Arial"/>
                  </a:defRPr>
                </a:pPr>
                <a:r>
                  <a:rPr lang="en-GB"/>
                  <a:t>Performance %</a:t>
                </a:r>
              </a:p>
            </c:rich>
          </c:tx>
          <c:layout>
            <c:manualLayout>
              <c:xMode val="edge"/>
              <c:yMode val="edge"/>
              <c:x val="4.2682982569131424E-2"/>
              <c:y val="0.39470562534483328"/>
            </c:manualLayout>
          </c:layout>
          <c:spPr>
            <a:noFill/>
            <a:ln w="25400">
              <a:noFill/>
            </a:ln>
          </c:spPr>
        </c:title>
        <c:numFmt formatCode="General"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7336320"/>
        <c:crosses val="autoZero"/>
        <c:crossBetween val="between"/>
        <c:majorUnit val="10"/>
      </c:valAx>
      <c:spPr>
        <a:noFill/>
        <a:ln w="3175">
          <a:noFill/>
          <a:prstDash val="solid"/>
        </a:ln>
      </c:spPr>
    </c:plotArea>
    <c:legend>
      <c:legendPos val="r"/>
      <c:layout>
        <c:manualLayout>
          <c:xMode val="edge"/>
          <c:yMode val="edge"/>
          <c:x val="0.15402939673080743"/>
          <c:y val="0.29054729954530334"/>
          <c:w val="0.21701940198651737"/>
          <c:h val="9.8211845630110206E-2"/>
        </c:manualLayout>
      </c:layout>
      <c:spPr>
        <a:noFill/>
        <a:ln w="0">
          <a:noFill/>
          <a:prstDash val="solid"/>
        </a:ln>
      </c:spPr>
      <c:txPr>
        <a:bodyPr/>
        <a:lstStyle/>
        <a:p>
          <a:pPr>
            <a:defRPr sz="800" b="1"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noFill/>
      <a:prstDash val="solid"/>
    </a:ln>
  </c:spPr>
  <c:txPr>
    <a:bodyPr/>
    <a:lstStyle/>
    <a:p>
      <a:pPr>
        <a:defRPr sz="2025" b="0"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sz="1200" b="1"/>
              <a:t>Five year manager performance against benchmark index</a:t>
            </a:r>
          </a:p>
        </c:rich>
      </c:tx>
      <c:layout>
        <c:manualLayout>
          <c:xMode val="edge"/>
          <c:yMode val="edge"/>
          <c:x val="0.20412987050651818"/>
          <c:y val="1.034928848641656E-2"/>
        </c:manualLayout>
      </c:layout>
    </c:title>
    <c:plotArea>
      <c:layout>
        <c:manualLayout>
          <c:layoutTarget val="inner"/>
          <c:xMode val="edge"/>
          <c:yMode val="edge"/>
          <c:x val="0.10365859831042563"/>
          <c:y val="7.8650382156305487E-2"/>
          <c:w val="0.74756142075637189"/>
          <c:h val="0.75879692916781261"/>
        </c:manualLayout>
      </c:layout>
      <c:barChart>
        <c:barDir val="col"/>
        <c:grouping val="clustered"/>
        <c:ser>
          <c:idx val="0"/>
          <c:order val="0"/>
          <c:tx>
            <c:strRef>
              <c:f>'Managers 5 years'!$B$1</c:f>
              <c:strCache>
                <c:ptCount val="1"/>
                <c:pt idx="0">
                  <c:v>Lancashire return</c:v>
                </c:pt>
              </c:strCache>
            </c:strRef>
          </c:tx>
          <c:spPr>
            <a:solidFill>
              <a:schemeClr val="bg1">
                <a:lumMod val="50000"/>
              </a:schemeClr>
            </a:solidFill>
            <a:ln w="12700">
              <a:solidFill>
                <a:srgbClr val="000000"/>
              </a:solidFill>
              <a:prstDash val="solid"/>
            </a:ln>
          </c:spPr>
          <c:dLbls>
            <c:numFmt formatCode="0.0" sourceLinked="0"/>
            <c:spPr>
              <a:noFill/>
              <a:ln w="25400">
                <a:noFill/>
              </a:ln>
            </c:spPr>
            <c:txPr>
              <a:bodyPr/>
              <a:lstStyle/>
              <a:p>
                <a:pPr>
                  <a:defRPr sz="800" b="1" i="0" u="none" strike="noStrike" baseline="0">
                    <a:solidFill>
                      <a:srgbClr val="000000"/>
                    </a:solidFill>
                    <a:latin typeface="Arial"/>
                    <a:ea typeface="Arial"/>
                    <a:cs typeface="Arial"/>
                  </a:defRPr>
                </a:pPr>
                <a:endParaRPr lang="en-US"/>
              </a:p>
            </c:txPr>
            <c:showVal val="1"/>
          </c:dLbls>
          <c:cat>
            <c:strRef>
              <c:f>'Managers 5 years'!$A$2:$A$7</c:f>
              <c:strCache>
                <c:ptCount val="6"/>
                <c:pt idx="0">
                  <c:v>Legal &amp; General</c:v>
                </c:pt>
                <c:pt idx="1">
                  <c:v>UBS</c:v>
                </c:pt>
                <c:pt idx="2">
                  <c:v>Newton</c:v>
                </c:pt>
                <c:pt idx="3">
                  <c:v>J.P. Morgan</c:v>
                </c:pt>
                <c:pt idx="5">
                  <c:v>Capital Dynamics</c:v>
                </c:pt>
              </c:strCache>
            </c:strRef>
          </c:cat>
          <c:val>
            <c:numRef>
              <c:f>'Managers 5 years'!$B$2:$B$7</c:f>
              <c:numCache>
                <c:formatCode>General</c:formatCode>
                <c:ptCount val="6"/>
                <c:pt idx="0">
                  <c:v>4.5</c:v>
                </c:pt>
                <c:pt idx="1">
                  <c:v>6.2</c:v>
                </c:pt>
                <c:pt idx="2" formatCode="0.0">
                  <c:v>3.3</c:v>
                </c:pt>
                <c:pt idx="3">
                  <c:v>0.30000000000000032</c:v>
                </c:pt>
                <c:pt idx="4">
                  <c:v>-1.4</c:v>
                </c:pt>
                <c:pt idx="5">
                  <c:v>7.6</c:v>
                </c:pt>
              </c:numCache>
            </c:numRef>
          </c:val>
        </c:ser>
        <c:ser>
          <c:idx val="1"/>
          <c:order val="1"/>
          <c:tx>
            <c:strRef>
              <c:f>'Managers 5 years'!$C$1</c:f>
              <c:strCache>
                <c:ptCount val="1"/>
                <c:pt idx="0">
                  <c:v>Benchmark return</c:v>
                </c:pt>
              </c:strCache>
            </c:strRef>
          </c:tx>
          <c:spPr>
            <a:solidFill>
              <a:schemeClr val="bg1">
                <a:lumMod val="85000"/>
              </a:schemeClr>
            </a:solidFill>
            <a:ln w="12700">
              <a:solidFill>
                <a:srgbClr val="000000"/>
              </a:solidFill>
              <a:prstDash val="solid"/>
            </a:ln>
          </c:spPr>
          <c:dLbls>
            <c:numFmt formatCode="General" sourceLinked="0"/>
            <c:spPr>
              <a:noFill/>
              <a:ln w="25400">
                <a:noFill/>
              </a:ln>
            </c:spPr>
            <c:txPr>
              <a:bodyPr/>
              <a:lstStyle/>
              <a:p>
                <a:pPr>
                  <a:defRPr sz="800" b="1" i="0" u="none" strike="noStrike" baseline="0">
                    <a:solidFill>
                      <a:srgbClr val="000000"/>
                    </a:solidFill>
                    <a:latin typeface="Arial"/>
                    <a:ea typeface="Arial"/>
                    <a:cs typeface="Arial"/>
                  </a:defRPr>
                </a:pPr>
                <a:endParaRPr lang="en-US"/>
              </a:p>
            </c:txPr>
            <c:showVal val="1"/>
          </c:dLbls>
          <c:cat>
            <c:strRef>
              <c:f>'Managers 5 years'!$A$2:$A$7</c:f>
              <c:strCache>
                <c:ptCount val="6"/>
                <c:pt idx="0">
                  <c:v>Legal &amp; General</c:v>
                </c:pt>
                <c:pt idx="1">
                  <c:v>UBS</c:v>
                </c:pt>
                <c:pt idx="2">
                  <c:v>Newton</c:v>
                </c:pt>
                <c:pt idx="3">
                  <c:v>J.P. Morgan</c:v>
                </c:pt>
                <c:pt idx="5">
                  <c:v>Capital Dynamics</c:v>
                </c:pt>
              </c:strCache>
            </c:strRef>
          </c:cat>
          <c:val>
            <c:numRef>
              <c:f>'Managers 5 years'!$C$2:$C$7</c:f>
              <c:numCache>
                <c:formatCode>General</c:formatCode>
                <c:ptCount val="6"/>
                <c:pt idx="0">
                  <c:v>4.5</c:v>
                </c:pt>
                <c:pt idx="1">
                  <c:v>7</c:v>
                </c:pt>
                <c:pt idx="2">
                  <c:v>4.5999999999999996</c:v>
                </c:pt>
                <c:pt idx="3">
                  <c:v>1.8</c:v>
                </c:pt>
                <c:pt idx="4">
                  <c:v>-1.8</c:v>
                </c:pt>
                <c:pt idx="5">
                  <c:v>1.8</c:v>
                </c:pt>
              </c:numCache>
            </c:numRef>
          </c:val>
        </c:ser>
        <c:dLbls>
          <c:showVal val="1"/>
        </c:dLbls>
        <c:gapWidth val="30"/>
        <c:axId val="98527104"/>
        <c:axId val="98562048"/>
      </c:barChart>
      <c:catAx>
        <c:axId val="98527104"/>
        <c:scaling>
          <c:orientation val="minMax"/>
        </c:scaling>
        <c:axPos val="b"/>
        <c:numFmt formatCode="General" sourceLinked="1"/>
        <c:tickLblPos val="nextTo"/>
        <c:spPr>
          <a:ln w="3175">
            <a:solidFill>
              <a:srgbClr val="000000"/>
            </a:solidFill>
            <a:prstDash val="solid"/>
          </a:ln>
        </c:spPr>
        <c:txPr>
          <a:bodyPr rot="5400000" vert="horz"/>
          <a:lstStyle/>
          <a:p>
            <a:pPr rtl="0">
              <a:defRPr sz="900" b="1" i="0" u="none" strike="noStrike" baseline="0">
                <a:solidFill>
                  <a:srgbClr val="000000"/>
                </a:solidFill>
                <a:latin typeface="Arial"/>
                <a:ea typeface="Arial"/>
                <a:cs typeface="Arial"/>
              </a:defRPr>
            </a:pPr>
            <a:endParaRPr lang="en-US"/>
          </a:p>
        </c:txPr>
        <c:crossAx val="98562048"/>
        <c:crosses val="autoZero"/>
        <c:auto val="1"/>
        <c:lblAlgn val="ctr"/>
        <c:lblOffset val="250"/>
        <c:tickLblSkip val="1"/>
        <c:tickMarkSkip val="1"/>
      </c:catAx>
      <c:valAx>
        <c:axId val="98562048"/>
        <c:scaling>
          <c:orientation val="minMax"/>
        </c:scaling>
        <c:axPos val="l"/>
        <c:majorGridlines>
          <c:spPr>
            <a:ln w="3175">
              <a:solidFill>
                <a:schemeClr val="bg1"/>
              </a:solidFill>
              <a:prstDash val="solid"/>
            </a:ln>
          </c:spPr>
        </c:majorGridlines>
        <c:title>
          <c:tx>
            <c:rich>
              <a:bodyPr rot="5400000" vert="horz"/>
              <a:lstStyle/>
              <a:p>
                <a:pPr algn="ctr">
                  <a:defRPr sz="900" b="1" i="0" u="none" strike="noStrike" baseline="0">
                    <a:solidFill>
                      <a:srgbClr val="000000"/>
                    </a:solidFill>
                    <a:latin typeface="Arial"/>
                    <a:ea typeface="Arial"/>
                    <a:cs typeface="Arial"/>
                  </a:defRPr>
                </a:pPr>
                <a:r>
                  <a:rPr lang="en-GB"/>
                  <a:t>Performance %</a:t>
                </a:r>
              </a:p>
            </c:rich>
          </c:tx>
          <c:layout>
            <c:manualLayout>
              <c:xMode val="edge"/>
              <c:yMode val="edge"/>
              <c:x val="4.2682965734255576E-2"/>
              <c:y val="0.39470556477982854"/>
            </c:manualLayout>
          </c:layout>
          <c:spPr>
            <a:noFill/>
            <a:ln w="25400">
              <a:noFill/>
            </a:ln>
          </c:spPr>
        </c:title>
        <c:numFmt formatCode="General"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8527104"/>
        <c:crosses val="autoZero"/>
        <c:crossBetween val="between"/>
      </c:valAx>
      <c:spPr>
        <a:noFill/>
        <a:ln w="3175">
          <a:solidFill>
            <a:srgbClr val="808080"/>
          </a:solidFill>
          <a:prstDash val="solid"/>
        </a:ln>
      </c:spPr>
    </c:plotArea>
    <c:legend>
      <c:legendPos val="r"/>
      <c:layout>
        <c:manualLayout>
          <c:xMode val="edge"/>
          <c:yMode val="edge"/>
          <c:x val="0.39691361784197138"/>
          <c:y val="0.18301820293161941"/>
          <c:w val="0.25642682095677288"/>
          <c:h val="5.2671359159018452E-2"/>
        </c:manualLayout>
      </c:layout>
      <c:spPr>
        <a:solidFill>
          <a:srgbClr val="FFFFFF"/>
        </a:solidFill>
        <a:ln w="3175">
          <a:noFill/>
          <a:prstDash val="solid"/>
        </a:ln>
      </c:spPr>
      <c:txPr>
        <a:bodyPr/>
        <a:lstStyle/>
        <a:p>
          <a:pPr>
            <a:defRPr sz="1000" b="1"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noFill/>
      <a:prstDash val="solid"/>
    </a:ln>
  </c:spPr>
  <c:txPr>
    <a:bodyPr/>
    <a:lstStyle/>
    <a:p>
      <a:pPr>
        <a:defRPr sz="2025" b="0"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sz="1200" b="1"/>
              <a:t>Asset allocation - comparison with prior</a:t>
            </a:r>
            <a:r>
              <a:rPr lang="en-GB" sz="1200" b="1" baseline="0"/>
              <a:t> year</a:t>
            </a:r>
            <a:endParaRPr lang="en-GB" sz="1200" b="1"/>
          </a:p>
        </c:rich>
      </c:tx>
      <c:layout>
        <c:manualLayout>
          <c:xMode val="edge"/>
          <c:yMode val="edge"/>
          <c:x val="0.17099863201094559"/>
          <c:y val="1.3311145761238641E-2"/>
        </c:manualLayout>
      </c:layout>
    </c:title>
    <c:plotArea>
      <c:layout>
        <c:manualLayout>
          <c:layoutTarget val="inner"/>
          <c:xMode val="edge"/>
          <c:yMode val="edge"/>
          <c:x val="0.13853703770899689"/>
          <c:y val="8.2224873405975771E-2"/>
          <c:w val="0.74257764654419456"/>
          <c:h val="0.66405253465527814"/>
        </c:manualLayout>
      </c:layout>
      <c:barChart>
        <c:barDir val="col"/>
        <c:grouping val="clustered"/>
        <c:ser>
          <c:idx val="0"/>
          <c:order val="0"/>
          <c:tx>
            <c:strRef>
              <c:f>'Asset Allocation'!$B$1</c:f>
              <c:strCache>
                <c:ptCount val="1"/>
                <c:pt idx="0">
                  <c:v>2012</c:v>
                </c:pt>
              </c:strCache>
            </c:strRef>
          </c:tx>
          <c:spPr>
            <a:solidFill>
              <a:schemeClr val="bg1">
                <a:lumMod val="50000"/>
              </a:schemeClr>
            </a:solidFill>
            <a:ln w="12700">
              <a:solidFill>
                <a:srgbClr val="000000"/>
              </a:solidFill>
              <a:prstDash val="solid"/>
            </a:ln>
          </c:spPr>
          <c:dLbls>
            <c:numFmt formatCode="0.0%" sourceLinked="0"/>
            <c:spPr>
              <a:noFill/>
              <a:ln w="25400">
                <a:noFill/>
              </a:ln>
            </c:spPr>
            <c:txPr>
              <a:bodyPr rot="5400000" vert="horz"/>
              <a:lstStyle/>
              <a:p>
                <a:pPr algn="ctr">
                  <a:defRPr sz="900" b="1" i="0" u="none" strike="noStrike" baseline="0">
                    <a:solidFill>
                      <a:srgbClr val="000000"/>
                    </a:solidFill>
                    <a:latin typeface="Arial"/>
                    <a:ea typeface="Arial"/>
                    <a:cs typeface="Arial"/>
                  </a:defRPr>
                </a:pPr>
                <a:endParaRPr lang="en-US"/>
              </a:p>
            </c:txPr>
            <c:dLblPos val="outEnd"/>
            <c:showVal val="1"/>
          </c:dLbls>
          <c:cat>
            <c:strRef>
              <c:f>'Asset Allocation'!$A$2:$A$12</c:f>
              <c:strCache>
                <c:ptCount val="11"/>
                <c:pt idx="0">
                  <c:v>UK Equities</c:v>
                </c:pt>
                <c:pt idx="1">
                  <c:v>Oversea Equities</c:v>
                </c:pt>
                <c:pt idx="2">
                  <c:v>Government Bonds</c:v>
                </c:pt>
                <c:pt idx="3">
                  <c:v>Corporate Bonds</c:v>
                </c:pt>
                <c:pt idx="4">
                  <c:v>Index Linked</c:v>
                </c:pt>
                <c:pt idx="5">
                  <c:v>Property</c:v>
                </c:pt>
                <c:pt idx="6">
                  <c:v>Private Equity</c:v>
                </c:pt>
                <c:pt idx="7">
                  <c:v>Intrastructure</c:v>
                </c:pt>
                <c:pt idx="8">
                  <c:v>Non Investment grade fixed income</c:v>
                </c:pt>
                <c:pt idx="9">
                  <c:v>Hedge Fund of Funds</c:v>
                </c:pt>
                <c:pt idx="10">
                  <c:v>Cash</c:v>
                </c:pt>
              </c:strCache>
            </c:strRef>
          </c:cat>
          <c:val>
            <c:numRef>
              <c:f>'Asset Allocation'!$B$2:$B$12</c:f>
              <c:numCache>
                <c:formatCode>General</c:formatCode>
                <c:ptCount val="11"/>
                <c:pt idx="0">
                  <c:v>0.30000000000000032</c:v>
                </c:pt>
                <c:pt idx="1">
                  <c:v>0.28430000000000116</c:v>
                </c:pt>
                <c:pt idx="2">
                  <c:v>5.3999999999999999E-2</c:v>
                </c:pt>
                <c:pt idx="3">
                  <c:v>0.12440000000000002</c:v>
                </c:pt>
                <c:pt idx="4">
                  <c:v>3.7200000000000052E-2</c:v>
                </c:pt>
                <c:pt idx="5">
                  <c:v>8.7900000000000006E-2</c:v>
                </c:pt>
                <c:pt idx="6">
                  <c:v>4.9000000000000113E-2</c:v>
                </c:pt>
                <c:pt idx="7">
                  <c:v>1.6799999999999999E-2</c:v>
                </c:pt>
                <c:pt idx="8">
                  <c:v>1.1299999999999998E-2</c:v>
                </c:pt>
                <c:pt idx="9">
                  <c:v>0</c:v>
                </c:pt>
                <c:pt idx="10">
                  <c:v>3.5400000000000001E-2</c:v>
                </c:pt>
              </c:numCache>
            </c:numRef>
          </c:val>
        </c:ser>
        <c:ser>
          <c:idx val="1"/>
          <c:order val="1"/>
          <c:tx>
            <c:strRef>
              <c:f>'Asset Allocation'!$C$1</c:f>
              <c:strCache>
                <c:ptCount val="1"/>
                <c:pt idx="0">
                  <c:v>2011</c:v>
                </c:pt>
              </c:strCache>
            </c:strRef>
          </c:tx>
          <c:spPr>
            <a:solidFill>
              <a:schemeClr val="bg1">
                <a:lumMod val="85000"/>
              </a:schemeClr>
            </a:solidFill>
            <a:ln w="12700">
              <a:solidFill>
                <a:srgbClr val="000000"/>
              </a:solidFill>
              <a:prstDash val="solid"/>
            </a:ln>
          </c:spPr>
          <c:dLbls>
            <c:numFmt formatCode="0.0%" sourceLinked="0"/>
            <c:spPr>
              <a:noFill/>
              <a:ln w="25400">
                <a:noFill/>
              </a:ln>
            </c:spPr>
            <c:txPr>
              <a:bodyPr rot="5400000" vert="horz"/>
              <a:lstStyle/>
              <a:p>
                <a:pPr algn="ctr">
                  <a:defRPr sz="900" b="1" i="0" u="none" strike="noStrike" baseline="0">
                    <a:solidFill>
                      <a:srgbClr val="000000"/>
                    </a:solidFill>
                    <a:latin typeface="Arial"/>
                    <a:ea typeface="Arial"/>
                    <a:cs typeface="Arial"/>
                  </a:defRPr>
                </a:pPr>
                <a:endParaRPr lang="en-US"/>
              </a:p>
            </c:txPr>
            <c:dLblPos val="outEnd"/>
            <c:showVal val="1"/>
          </c:dLbls>
          <c:cat>
            <c:strRef>
              <c:f>'Asset Allocation'!$A$2:$A$12</c:f>
              <c:strCache>
                <c:ptCount val="11"/>
                <c:pt idx="0">
                  <c:v>UK Equities</c:v>
                </c:pt>
                <c:pt idx="1">
                  <c:v>Oversea Equities</c:v>
                </c:pt>
                <c:pt idx="2">
                  <c:v>Government Bonds</c:v>
                </c:pt>
                <c:pt idx="3">
                  <c:v>Corporate Bonds</c:v>
                </c:pt>
                <c:pt idx="4">
                  <c:v>Index Linked</c:v>
                </c:pt>
                <c:pt idx="5">
                  <c:v>Property</c:v>
                </c:pt>
                <c:pt idx="6">
                  <c:v>Private Equity</c:v>
                </c:pt>
                <c:pt idx="7">
                  <c:v>Intrastructure</c:v>
                </c:pt>
                <c:pt idx="8">
                  <c:v>Non Investment grade fixed income</c:v>
                </c:pt>
                <c:pt idx="9">
                  <c:v>Hedge Fund of Funds</c:v>
                </c:pt>
                <c:pt idx="10">
                  <c:v>Cash</c:v>
                </c:pt>
              </c:strCache>
            </c:strRef>
          </c:cat>
          <c:val>
            <c:numRef>
              <c:f>'Asset Allocation'!$C$2:$C$12</c:f>
              <c:numCache>
                <c:formatCode>General</c:formatCode>
                <c:ptCount val="11"/>
                <c:pt idx="0">
                  <c:v>0.30592968650547742</c:v>
                </c:pt>
                <c:pt idx="1">
                  <c:v>0.32143300000000002</c:v>
                </c:pt>
                <c:pt idx="2">
                  <c:v>4.9550190306347094E-2</c:v>
                </c:pt>
                <c:pt idx="3">
                  <c:v>0.12171267537205822</c:v>
                </c:pt>
                <c:pt idx="4">
                  <c:v>3.2945479771702459E-2</c:v>
                </c:pt>
                <c:pt idx="5">
                  <c:v>9.2847774776321432E-2</c:v>
                </c:pt>
                <c:pt idx="6">
                  <c:v>4.7151828143850341E-2</c:v>
                </c:pt>
                <c:pt idx="7">
                  <c:v>0</c:v>
                </c:pt>
                <c:pt idx="8">
                  <c:v>0</c:v>
                </c:pt>
                <c:pt idx="9">
                  <c:v>1.6254579556695441E-2</c:v>
                </c:pt>
                <c:pt idx="10">
                  <c:v>1.2174934686207665E-2</c:v>
                </c:pt>
              </c:numCache>
            </c:numRef>
          </c:val>
        </c:ser>
        <c:gapWidth val="30"/>
        <c:axId val="105261696"/>
        <c:axId val="116654464"/>
      </c:barChart>
      <c:catAx>
        <c:axId val="105261696"/>
        <c:scaling>
          <c:orientation val="minMax"/>
        </c:scaling>
        <c:axPos val="b"/>
        <c:numFmt formatCode="General" sourceLinked="1"/>
        <c:tickLblPos val="nextTo"/>
        <c:spPr>
          <a:ln w="3175">
            <a:solidFill>
              <a:srgbClr val="000000"/>
            </a:solidFill>
            <a:prstDash val="solid"/>
          </a:ln>
        </c:spPr>
        <c:txPr>
          <a:bodyPr rot="5400000" vert="horz"/>
          <a:lstStyle/>
          <a:p>
            <a:pPr>
              <a:defRPr sz="900" b="1" i="0" u="none" strike="noStrike" baseline="0">
                <a:solidFill>
                  <a:srgbClr val="000000"/>
                </a:solidFill>
                <a:latin typeface="Arial"/>
                <a:ea typeface="Arial"/>
                <a:cs typeface="Arial"/>
              </a:defRPr>
            </a:pPr>
            <a:endParaRPr lang="en-US"/>
          </a:p>
        </c:txPr>
        <c:crossAx val="116654464"/>
        <c:crosses val="autoZero"/>
        <c:auto val="1"/>
        <c:lblAlgn val="ctr"/>
        <c:lblOffset val="100"/>
        <c:tickLblSkip val="1"/>
        <c:tickMarkSkip val="1"/>
      </c:catAx>
      <c:valAx>
        <c:axId val="116654464"/>
        <c:scaling>
          <c:orientation val="minMax"/>
          <c:max val="0.4"/>
        </c:scaling>
        <c:axPos val="l"/>
        <c:title>
          <c:tx>
            <c:rich>
              <a:bodyPr rot="5400000" vert="horz"/>
              <a:lstStyle/>
              <a:p>
                <a:pPr algn="ctr">
                  <a:defRPr sz="900" b="1" i="0" u="none" strike="noStrike" baseline="0">
                    <a:solidFill>
                      <a:srgbClr val="000000"/>
                    </a:solidFill>
                    <a:latin typeface="Arial"/>
                    <a:ea typeface="Arial"/>
                    <a:cs typeface="Arial"/>
                  </a:defRPr>
                </a:pPr>
                <a:r>
                  <a:rPr lang="en-GB"/>
                  <a:t>Allocation %</a:t>
                </a:r>
              </a:p>
            </c:rich>
          </c:tx>
          <c:layout>
            <c:manualLayout>
              <c:xMode val="edge"/>
              <c:yMode val="edge"/>
              <c:x val="2.4390243902439025E-2"/>
              <c:y val="0.28483606557377339"/>
            </c:manualLayout>
          </c:layout>
          <c:spPr>
            <a:noFill/>
            <a:ln w="25400">
              <a:noFill/>
            </a:ln>
          </c:spPr>
        </c:title>
        <c:numFmt formatCode="0%" sourceLinked="0"/>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05261696"/>
        <c:crosses val="autoZero"/>
        <c:crossBetween val="between"/>
      </c:valAx>
      <c:spPr>
        <a:noFill/>
        <a:ln w="12700">
          <a:noFill/>
          <a:prstDash val="solid"/>
        </a:ln>
      </c:spPr>
    </c:plotArea>
    <c:legend>
      <c:legendPos val="r"/>
      <c:legendEntry>
        <c:idx val="0"/>
        <c:txPr>
          <a:bodyPr/>
          <a:lstStyle/>
          <a:p>
            <a:pPr>
              <a:defRPr sz="1000" b="1" i="0" u="none" strike="noStrike" baseline="0">
                <a:solidFill>
                  <a:srgbClr val="000000"/>
                </a:solidFill>
                <a:latin typeface="Arial"/>
                <a:ea typeface="Arial"/>
                <a:cs typeface="Arial"/>
              </a:defRPr>
            </a:pPr>
            <a:endParaRPr lang="en-US"/>
          </a:p>
        </c:txPr>
      </c:legendEntry>
      <c:legendEntry>
        <c:idx val="1"/>
        <c:txPr>
          <a:bodyPr/>
          <a:lstStyle/>
          <a:p>
            <a:pPr>
              <a:defRPr sz="1000" b="1" i="0" u="none" strike="noStrike" baseline="0">
                <a:solidFill>
                  <a:srgbClr val="000000"/>
                </a:solidFill>
                <a:latin typeface="Arial"/>
                <a:ea typeface="Arial"/>
                <a:cs typeface="Arial"/>
              </a:defRPr>
            </a:pPr>
            <a:endParaRPr lang="en-US"/>
          </a:p>
        </c:txPr>
      </c:legendEntry>
      <c:layout>
        <c:manualLayout>
          <c:xMode val="edge"/>
          <c:yMode val="edge"/>
          <c:x val="0.57120645145075066"/>
          <c:y val="0.10659799606115862"/>
          <c:w val="0.11097573778887412"/>
          <c:h val="0.10655737704918032"/>
        </c:manualLayout>
      </c:layout>
      <c:spPr>
        <a:noFill/>
        <a:ln w="3175">
          <a:no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2025" b="0"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1986863711001651"/>
          <c:y val="5.4945054945054944E-2"/>
          <c:w val="0.866995073891632"/>
          <c:h val="0.75824175824176065"/>
        </c:manualLayout>
      </c:layout>
      <c:barChart>
        <c:barDir val="bar"/>
        <c:grouping val="stacked"/>
        <c:ser>
          <c:idx val="1"/>
          <c:order val="0"/>
          <c:tx>
            <c:strRef>
              <c:f>Sheet1!$A$2</c:f>
              <c:strCache>
                <c:ptCount val="1"/>
                <c:pt idx="0">
                  <c:v>assets</c:v>
                </c:pt>
              </c:strCache>
            </c:strRef>
          </c:tx>
          <c:spPr>
            <a:solidFill>
              <a:srgbClr val="99CCFF"/>
            </a:solidFill>
            <a:ln w="12700">
              <a:solidFill>
                <a:srgbClr val="000000"/>
              </a:solidFill>
              <a:prstDash val="solid"/>
            </a:ln>
          </c:spPr>
          <c:dLbls>
            <c:spPr>
              <a:noFill/>
              <a:ln w="25401">
                <a:noFill/>
              </a:ln>
            </c:spPr>
            <c:txPr>
              <a:bodyPr/>
              <a:lstStyle/>
              <a:p>
                <a:pPr>
                  <a:defRPr sz="800" b="1" i="0" u="none" strike="noStrike" baseline="0">
                    <a:solidFill>
                      <a:srgbClr val="FFFFFF"/>
                    </a:solidFill>
                    <a:latin typeface="Arial"/>
                    <a:ea typeface="Arial"/>
                    <a:cs typeface="Arial"/>
                  </a:defRPr>
                </a:pPr>
                <a:endParaRPr lang="en-US"/>
              </a:p>
            </c:txPr>
            <c:showVal val="1"/>
          </c:dLbls>
          <c:cat>
            <c:strRef>
              <c:f>Sheet1!$B$1:$D$1</c:f>
              <c:strCache>
                <c:ptCount val="3"/>
                <c:pt idx="0">
                  <c:v>Deficit</c:v>
                </c:pt>
                <c:pt idx="1">
                  <c:v>Liabilities</c:v>
                </c:pt>
                <c:pt idx="2">
                  <c:v>Assets</c:v>
                </c:pt>
              </c:strCache>
            </c:strRef>
          </c:cat>
          <c:val>
            <c:numRef>
              <c:f>Sheet1!$B$2:$D$2</c:f>
              <c:numCache>
                <c:formatCode>General</c:formatCode>
                <c:ptCount val="3"/>
                <c:pt idx="2" formatCode="#,##0">
                  <c:v>3962</c:v>
                </c:pt>
              </c:numCache>
            </c:numRef>
          </c:val>
        </c:ser>
        <c:ser>
          <c:idx val="2"/>
          <c:order val="1"/>
          <c:tx>
            <c:strRef>
              <c:f>Sheet1!$A$3</c:f>
              <c:strCache>
                <c:ptCount val="1"/>
                <c:pt idx="0">
                  <c:v>liabilities</c:v>
                </c:pt>
              </c:strCache>
            </c:strRef>
          </c:tx>
          <c:spPr>
            <a:solidFill>
              <a:srgbClr val="0066CC"/>
            </a:solidFill>
            <a:ln w="12700">
              <a:solidFill>
                <a:srgbClr val="000000"/>
              </a:solidFill>
              <a:prstDash val="solid"/>
            </a:ln>
          </c:spPr>
          <c:dLbls>
            <c:spPr>
              <a:noFill/>
              <a:ln w="25401">
                <a:noFill/>
              </a:ln>
            </c:spPr>
            <c:txPr>
              <a:bodyPr/>
              <a:lstStyle/>
              <a:p>
                <a:pPr>
                  <a:defRPr sz="800" b="1" i="0" u="none" strike="noStrike" baseline="0">
                    <a:solidFill>
                      <a:srgbClr val="FFFFFF"/>
                    </a:solidFill>
                    <a:latin typeface="Arial"/>
                    <a:ea typeface="Arial"/>
                    <a:cs typeface="Arial"/>
                  </a:defRPr>
                </a:pPr>
                <a:endParaRPr lang="en-US"/>
              </a:p>
            </c:txPr>
            <c:showVal val="1"/>
          </c:dLbls>
          <c:cat>
            <c:strRef>
              <c:f>Sheet1!$B$1:$D$1</c:f>
              <c:strCache>
                <c:ptCount val="3"/>
                <c:pt idx="0">
                  <c:v>Deficit</c:v>
                </c:pt>
                <c:pt idx="1">
                  <c:v>Liabilities</c:v>
                </c:pt>
                <c:pt idx="2">
                  <c:v>Assets</c:v>
                </c:pt>
              </c:strCache>
            </c:strRef>
          </c:cat>
          <c:val>
            <c:numRef>
              <c:f>Sheet1!$B$3:$D$3</c:f>
              <c:numCache>
                <c:formatCode>#,##0</c:formatCode>
                <c:ptCount val="3"/>
                <c:pt idx="1">
                  <c:v>4955</c:v>
                </c:pt>
              </c:numCache>
            </c:numRef>
          </c:val>
        </c:ser>
        <c:ser>
          <c:idx val="3"/>
          <c:order val="2"/>
          <c:tx>
            <c:strRef>
              <c:f>Sheet1!$A$4</c:f>
              <c:strCache>
                <c:ptCount val="1"/>
                <c:pt idx="0">
                  <c:v>deficit</c:v>
                </c:pt>
              </c:strCache>
            </c:strRef>
          </c:tx>
          <c:spPr>
            <a:solidFill>
              <a:srgbClr val="000080"/>
            </a:solidFill>
            <a:ln w="12700">
              <a:solidFill>
                <a:srgbClr val="000000"/>
              </a:solidFill>
              <a:prstDash val="solid"/>
            </a:ln>
          </c:spPr>
          <c:dLbls>
            <c:spPr>
              <a:noFill/>
              <a:ln w="25401">
                <a:noFill/>
              </a:ln>
            </c:spPr>
            <c:txPr>
              <a:bodyPr/>
              <a:lstStyle/>
              <a:p>
                <a:pPr>
                  <a:defRPr sz="800" b="1" i="0" u="none" strike="noStrike" baseline="0">
                    <a:solidFill>
                      <a:srgbClr val="FFFFFF"/>
                    </a:solidFill>
                    <a:latin typeface="Arial"/>
                    <a:ea typeface="Arial"/>
                    <a:cs typeface="Arial"/>
                  </a:defRPr>
                </a:pPr>
                <a:endParaRPr lang="en-US"/>
              </a:p>
            </c:txPr>
            <c:showVal val="1"/>
          </c:dLbls>
          <c:cat>
            <c:strRef>
              <c:f>Sheet1!$B$1:$D$1</c:f>
              <c:strCache>
                <c:ptCount val="3"/>
                <c:pt idx="0">
                  <c:v>Deficit</c:v>
                </c:pt>
                <c:pt idx="1">
                  <c:v>Liabilities</c:v>
                </c:pt>
                <c:pt idx="2">
                  <c:v>Assets</c:v>
                </c:pt>
              </c:strCache>
            </c:strRef>
          </c:cat>
          <c:val>
            <c:numRef>
              <c:f>Sheet1!$B$4:$D$4</c:f>
              <c:numCache>
                <c:formatCode>General</c:formatCode>
                <c:ptCount val="3"/>
                <c:pt idx="0" formatCode="#,##0">
                  <c:v>993</c:v>
                </c:pt>
              </c:numCache>
            </c:numRef>
          </c:val>
        </c:ser>
        <c:overlap val="100"/>
        <c:axId val="126655104"/>
        <c:axId val="126660992"/>
      </c:barChart>
      <c:catAx>
        <c:axId val="126655104"/>
        <c:scaling>
          <c:orientation val="minMax"/>
        </c:scaling>
        <c:axPos val="l"/>
        <c:numFmt formatCode="General" sourceLinked="1"/>
        <c:maj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26660992"/>
        <c:crosses val="autoZero"/>
        <c:auto val="1"/>
        <c:lblAlgn val="ctr"/>
        <c:lblOffset val="100"/>
        <c:tickLblSkip val="1"/>
        <c:tickMarkSkip val="1"/>
      </c:catAx>
      <c:valAx>
        <c:axId val="126660992"/>
        <c:scaling>
          <c:orientation val="minMax"/>
          <c:max val="5000"/>
          <c:min val="0"/>
        </c:scaling>
        <c:axPos val="b"/>
        <c:majorGridlines>
          <c:spPr>
            <a:ln w="12700">
              <a:solidFill>
                <a:srgbClr val="FFFFFF"/>
              </a:solidFill>
              <a:prstDash val="solid"/>
            </a:ln>
          </c:spPr>
        </c:majorGridlines>
        <c:title>
          <c:tx>
            <c:rich>
              <a:bodyPr/>
              <a:lstStyle/>
              <a:p>
                <a:pPr>
                  <a:defRPr sz="800" b="1" i="0" u="none" strike="noStrike" baseline="0">
                    <a:solidFill>
                      <a:srgbClr val="000000"/>
                    </a:solidFill>
                    <a:latin typeface="Arial"/>
                    <a:ea typeface="Arial"/>
                    <a:cs typeface="Arial"/>
                  </a:defRPr>
                </a:pPr>
                <a:r>
                  <a:rPr lang="en-GB"/>
                  <a:t>£ million</a:t>
                </a:r>
              </a:p>
            </c:rich>
          </c:tx>
          <c:layout>
            <c:manualLayout>
              <c:xMode val="edge"/>
              <c:yMode val="edge"/>
              <c:x val="0.51067323481116589"/>
              <c:y val="0.80769230769230771"/>
            </c:manualLayout>
          </c:layout>
          <c:spPr>
            <a:noFill/>
            <a:ln w="25401">
              <a:noFill/>
            </a:ln>
          </c:spPr>
        </c:title>
        <c:numFmt formatCode="General" sourceLinked="1"/>
        <c:majorTickMark val="none"/>
        <c:tickLblPos val="none"/>
        <c:spPr>
          <a:ln w="9525">
            <a:noFill/>
          </a:ln>
        </c:spPr>
        <c:crossAx val="126655104"/>
        <c:crosses val="autoZero"/>
        <c:crossBetween val="between"/>
        <c:majorUnit val="500"/>
        <c:minorUnit val="500"/>
      </c:valAx>
      <c:spPr>
        <a:noFill/>
        <a:ln w="25401">
          <a:no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4864864864864866"/>
          <c:y val="5.5813953488372092E-2"/>
          <c:w val="0.64864864864866234"/>
          <c:h val="0.76279069767443686"/>
        </c:manualLayout>
      </c:layout>
      <c:barChart>
        <c:barDir val="col"/>
        <c:grouping val="stacked"/>
        <c:ser>
          <c:idx val="0"/>
          <c:order val="0"/>
          <c:tx>
            <c:strRef>
              <c:f>Sheet1!$A$2</c:f>
              <c:strCache>
                <c:ptCount val="1"/>
                <c:pt idx="0">
                  <c:v>Assets</c:v>
                </c:pt>
              </c:strCache>
            </c:strRef>
          </c:tx>
          <c:spPr>
            <a:solidFill>
              <a:srgbClr val="86C100"/>
            </a:solidFill>
            <a:ln w="25399">
              <a:noFill/>
            </a:ln>
          </c:spPr>
          <c:dLbls>
            <c:spPr>
              <a:noFill/>
              <a:ln w="25399">
                <a:noFill/>
              </a:ln>
            </c:spPr>
            <c:txPr>
              <a:bodyPr/>
              <a:lstStyle/>
              <a:p>
                <a:pPr>
                  <a:defRPr sz="875" b="1" i="0" u="none" strike="noStrike" baseline="0">
                    <a:solidFill>
                      <a:srgbClr val="000000"/>
                    </a:solidFill>
                    <a:latin typeface="Arial"/>
                    <a:ea typeface="Arial"/>
                    <a:cs typeface="Arial"/>
                  </a:defRPr>
                </a:pPr>
                <a:endParaRPr lang="en-US"/>
              </a:p>
            </c:txPr>
            <c:showVal val="1"/>
          </c:dLbls>
          <c:cat>
            <c:strRef>
              <c:f>Sheet1!$B$1:$E$1</c:f>
              <c:strCache>
                <c:ptCount val="4"/>
                <c:pt idx="0">
                  <c:v>Assets</c:v>
                </c:pt>
                <c:pt idx="1">
                  <c:v>Liability value</c:v>
                </c:pt>
                <c:pt idx="2">
                  <c:v>Assets</c:v>
                </c:pt>
                <c:pt idx="3">
                  <c:v>Liability value</c:v>
                </c:pt>
              </c:strCache>
            </c:strRef>
          </c:cat>
          <c:val>
            <c:numRef>
              <c:f>Sheet1!$B$2:$E$2</c:f>
              <c:numCache>
                <c:formatCode>General</c:formatCode>
                <c:ptCount val="4"/>
                <c:pt idx="0" formatCode="#,##0">
                  <c:v>3962</c:v>
                </c:pt>
                <c:pt idx="2" formatCode="#,##0">
                  <c:v>3689</c:v>
                </c:pt>
              </c:numCache>
            </c:numRef>
          </c:val>
        </c:ser>
        <c:ser>
          <c:idx val="2"/>
          <c:order val="1"/>
          <c:tx>
            <c:strRef>
              <c:f>Sheet1!$A$4</c:f>
              <c:strCache>
                <c:ptCount val="1"/>
                <c:pt idx="0">
                  <c:v>Pensioners</c:v>
                </c:pt>
              </c:strCache>
            </c:strRef>
          </c:tx>
          <c:spPr>
            <a:solidFill>
              <a:srgbClr val="FCC917"/>
            </a:solidFill>
            <a:ln w="25399">
              <a:noFill/>
            </a:ln>
          </c:spPr>
          <c:dLbls>
            <c:spPr>
              <a:noFill/>
              <a:ln w="25399">
                <a:noFill/>
              </a:ln>
            </c:spPr>
            <c:txPr>
              <a:bodyPr/>
              <a:lstStyle/>
              <a:p>
                <a:pPr>
                  <a:defRPr sz="875" b="1" i="0" u="none" strike="noStrike" baseline="0">
                    <a:solidFill>
                      <a:srgbClr val="000000"/>
                    </a:solidFill>
                    <a:latin typeface="Arial"/>
                    <a:ea typeface="Arial"/>
                    <a:cs typeface="Arial"/>
                  </a:defRPr>
                </a:pPr>
                <a:endParaRPr lang="en-US"/>
              </a:p>
            </c:txPr>
            <c:showVal val="1"/>
          </c:dLbls>
          <c:cat>
            <c:strRef>
              <c:f>Sheet1!$B$1:$E$1</c:f>
              <c:strCache>
                <c:ptCount val="4"/>
                <c:pt idx="0">
                  <c:v>Assets</c:v>
                </c:pt>
                <c:pt idx="1">
                  <c:v>Liability value</c:v>
                </c:pt>
                <c:pt idx="2">
                  <c:v>Assets</c:v>
                </c:pt>
                <c:pt idx="3">
                  <c:v>Liability value</c:v>
                </c:pt>
              </c:strCache>
            </c:strRef>
          </c:cat>
          <c:val>
            <c:numRef>
              <c:f>Sheet1!$B$4:$E$4</c:f>
              <c:numCache>
                <c:formatCode>#,##0</c:formatCode>
                <c:ptCount val="4"/>
                <c:pt idx="1">
                  <c:v>2120</c:v>
                </c:pt>
                <c:pt idx="3">
                  <c:v>1841</c:v>
                </c:pt>
              </c:numCache>
            </c:numRef>
          </c:val>
        </c:ser>
        <c:ser>
          <c:idx val="3"/>
          <c:order val="2"/>
          <c:tx>
            <c:strRef>
              <c:f>Sheet1!$A$5</c:f>
              <c:strCache>
                <c:ptCount val="1"/>
                <c:pt idx="0">
                  <c:v>Deferred members</c:v>
                </c:pt>
              </c:strCache>
            </c:strRef>
          </c:tx>
          <c:spPr>
            <a:solidFill>
              <a:srgbClr val="FF6400"/>
            </a:solidFill>
            <a:ln w="25399">
              <a:noFill/>
            </a:ln>
          </c:spPr>
          <c:dLbls>
            <c:spPr>
              <a:noFill/>
              <a:ln w="25399">
                <a:noFill/>
              </a:ln>
            </c:spPr>
            <c:txPr>
              <a:bodyPr/>
              <a:lstStyle/>
              <a:p>
                <a:pPr>
                  <a:defRPr sz="875" b="1" i="0" u="none" strike="noStrike" baseline="0">
                    <a:solidFill>
                      <a:srgbClr val="000000"/>
                    </a:solidFill>
                    <a:latin typeface="Arial"/>
                    <a:ea typeface="Arial"/>
                    <a:cs typeface="Arial"/>
                  </a:defRPr>
                </a:pPr>
                <a:endParaRPr lang="en-US"/>
              </a:p>
            </c:txPr>
            <c:showVal val="1"/>
          </c:dLbls>
          <c:cat>
            <c:strRef>
              <c:f>Sheet1!$B$1:$E$1</c:f>
              <c:strCache>
                <c:ptCount val="4"/>
                <c:pt idx="0">
                  <c:v>Assets</c:v>
                </c:pt>
                <c:pt idx="1">
                  <c:v>Liability value</c:v>
                </c:pt>
                <c:pt idx="2">
                  <c:v>Assets</c:v>
                </c:pt>
                <c:pt idx="3">
                  <c:v>Liability value</c:v>
                </c:pt>
              </c:strCache>
            </c:strRef>
          </c:cat>
          <c:val>
            <c:numRef>
              <c:f>Sheet1!$B$5:$E$5</c:f>
              <c:numCache>
                <c:formatCode>#,##0</c:formatCode>
                <c:ptCount val="4"/>
                <c:pt idx="1">
                  <c:v>614</c:v>
                </c:pt>
                <c:pt idx="3">
                  <c:v>476</c:v>
                </c:pt>
              </c:numCache>
            </c:numRef>
          </c:val>
        </c:ser>
        <c:ser>
          <c:idx val="4"/>
          <c:order val="3"/>
          <c:tx>
            <c:strRef>
              <c:f>Sheet1!$A$6</c:f>
              <c:strCache>
                <c:ptCount val="1"/>
                <c:pt idx="0">
                  <c:v>Active members</c:v>
                </c:pt>
              </c:strCache>
            </c:strRef>
          </c:tx>
          <c:spPr>
            <a:solidFill>
              <a:srgbClr val="0057A6"/>
            </a:solidFill>
            <a:ln w="25399">
              <a:noFill/>
            </a:ln>
          </c:spPr>
          <c:dLbls>
            <c:spPr>
              <a:noFill/>
              <a:ln w="25399">
                <a:noFill/>
              </a:ln>
            </c:spPr>
            <c:txPr>
              <a:bodyPr/>
              <a:lstStyle/>
              <a:p>
                <a:pPr>
                  <a:defRPr sz="875" b="1" i="0" u="none" strike="noStrike" baseline="0">
                    <a:solidFill>
                      <a:srgbClr val="000000"/>
                    </a:solidFill>
                    <a:latin typeface="Arial"/>
                    <a:ea typeface="Arial"/>
                    <a:cs typeface="Arial"/>
                  </a:defRPr>
                </a:pPr>
                <a:endParaRPr lang="en-US"/>
              </a:p>
            </c:txPr>
            <c:showVal val="1"/>
          </c:dLbls>
          <c:cat>
            <c:strRef>
              <c:f>Sheet1!$B$1:$E$1</c:f>
              <c:strCache>
                <c:ptCount val="4"/>
                <c:pt idx="0">
                  <c:v>Assets</c:v>
                </c:pt>
                <c:pt idx="1">
                  <c:v>Liability value</c:v>
                </c:pt>
                <c:pt idx="2">
                  <c:v>Assets</c:v>
                </c:pt>
                <c:pt idx="3">
                  <c:v>Liability value</c:v>
                </c:pt>
              </c:strCache>
            </c:strRef>
          </c:cat>
          <c:val>
            <c:numRef>
              <c:f>Sheet1!$B$6:$E$6</c:f>
              <c:numCache>
                <c:formatCode>#,##0</c:formatCode>
                <c:ptCount val="4"/>
                <c:pt idx="1">
                  <c:v>2221</c:v>
                </c:pt>
                <c:pt idx="3">
                  <c:v>2082</c:v>
                </c:pt>
              </c:numCache>
            </c:numRef>
          </c:val>
        </c:ser>
        <c:gapWidth val="120"/>
        <c:overlap val="100"/>
        <c:axId val="126978688"/>
        <c:axId val="167620992"/>
      </c:barChart>
      <c:catAx>
        <c:axId val="126978688"/>
        <c:scaling>
          <c:orientation val="minMax"/>
        </c:scaling>
        <c:axPos val="b"/>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167620992"/>
        <c:crosses val="autoZero"/>
        <c:auto val="1"/>
        <c:lblAlgn val="ctr"/>
        <c:lblOffset val="100"/>
        <c:tickLblSkip val="1"/>
        <c:tickMarkSkip val="1"/>
      </c:catAx>
      <c:valAx>
        <c:axId val="167620992"/>
        <c:scaling>
          <c:orientation val="minMax"/>
        </c:scaling>
        <c:axPos val="l"/>
        <c:title>
          <c:tx>
            <c:rich>
              <a:bodyPr/>
              <a:lstStyle/>
              <a:p>
                <a:pPr>
                  <a:defRPr sz="1000" b="1" i="0" u="none" strike="noStrike" baseline="0">
                    <a:solidFill>
                      <a:srgbClr val="000000"/>
                    </a:solidFill>
                    <a:latin typeface="Arial"/>
                    <a:ea typeface="Arial"/>
                    <a:cs typeface="Arial"/>
                  </a:defRPr>
                </a:pPr>
                <a:r>
                  <a:rPr lang="en-GB"/>
                  <a:t>£m</a:t>
                </a:r>
              </a:p>
            </c:rich>
          </c:tx>
          <c:layout>
            <c:manualLayout>
              <c:xMode val="edge"/>
              <c:yMode val="edge"/>
              <c:x val="1.9305019305019544E-2"/>
              <c:y val="0.38139534883720932"/>
            </c:manualLayout>
          </c:layout>
          <c:spPr>
            <a:noFill/>
            <a:ln w="25399">
              <a:noFill/>
            </a:ln>
          </c:spPr>
        </c:title>
        <c:numFmt formatCode="#,##0" sourceLinked="0"/>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126978688"/>
        <c:crosses val="autoZero"/>
        <c:crossBetween val="between"/>
      </c:valAx>
      <c:spPr>
        <a:noFill/>
        <a:ln w="25399">
          <a:noFill/>
        </a:ln>
      </c:spPr>
    </c:plotArea>
    <c:legend>
      <c:legendPos val="r"/>
      <c:layout>
        <c:manualLayout>
          <c:xMode val="edge"/>
          <c:yMode val="edge"/>
          <c:x val="0.7625482625482698"/>
          <c:y val="0.23720930232558141"/>
          <c:w val="0.23745173745173914"/>
          <c:h val="0.44651162790697685"/>
        </c:manualLayout>
      </c:layout>
      <c:spPr>
        <a:noFill/>
        <a:ln w="25399">
          <a:noFill/>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12700">
      <a:solidFill>
        <a:srgbClr val="FFFFFF"/>
      </a:solidFill>
      <a:prstDash val="solid"/>
    </a:ln>
  </c:spPr>
  <c:txPr>
    <a:bodyPr/>
    <a:lstStyle/>
    <a:p>
      <a:pPr>
        <a:defRPr sz="950" b="1"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2DAF9-B85C-4F94-95DF-3646D042C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67</Pages>
  <Words>17301</Words>
  <Characters>98834</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LANCASHIRE COUNTY PENSION FUND</vt:lpstr>
    </vt:vector>
  </TitlesOfParts>
  <Company>LCC</Company>
  <LinksUpToDate>false</LinksUpToDate>
  <CharactersWithSpaces>115904</CharactersWithSpaces>
  <SharedDoc>false</SharedDoc>
  <HLinks>
    <vt:vector size="6" baseType="variant">
      <vt:variant>
        <vt:i4>5439497</vt:i4>
      </vt:variant>
      <vt:variant>
        <vt:i4>6</vt:i4>
      </vt:variant>
      <vt:variant>
        <vt:i4>0</vt:i4>
      </vt:variant>
      <vt:variant>
        <vt:i4>5</vt:i4>
      </vt:variant>
      <vt:variant>
        <vt:lpwstr>http://pensions/documents/valuation 2007 Full Report.pdf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LANCASHIRE COUNTY PENSION FUND</dc:title>
  <dc:subject/>
  <dc:creator>Claire Cartmel</dc:creator>
  <cp:keywords/>
  <dc:description/>
  <cp:lastModifiedBy>crawcliffe001</cp:lastModifiedBy>
  <cp:revision>5</cp:revision>
  <cp:lastPrinted>2011-09-12T13:44:00Z</cp:lastPrinted>
  <dcterms:created xsi:type="dcterms:W3CDTF">2012-09-17T10:03:00Z</dcterms:created>
  <dcterms:modified xsi:type="dcterms:W3CDTF">2012-09-18T10:00:00Z</dcterms:modified>
</cp:coreProperties>
</file>